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0649B" w14:textId="77777777" w:rsidR="003508AE" w:rsidRDefault="003508AE" w:rsidP="000A5B0C">
      <w:pPr>
        <w:pStyle w:val="Corpotesto"/>
        <w:jc w:val="both"/>
        <w:rPr>
          <w:b/>
          <w:bCs/>
          <w:color w:val="3C1C6B" w:themeColor="accent6" w:themeTint="E6"/>
          <w:sz w:val="40"/>
          <w:szCs w:val="40"/>
          <w:u w:val="single"/>
        </w:rPr>
      </w:pPr>
    </w:p>
    <w:p w14:paraId="02472DAA" w14:textId="77777777" w:rsidR="003508AE" w:rsidRDefault="003508AE" w:rsidP="000A5B0C">
      <w:pPr>
        <w:pStyle w:val="Corpotesto"/>
        <w:jc w:val="both"/>
        <w:rPr>
          <w:b/>
          <w:bCs/>
          <w:color w:val="3C1C6B" w:themeColor="accent6" w:themeTint="E6"/>
          <w:sz w:val="40"/>
          <w:szCs w:val="40"/>
          <w:u w:val="single"/>
        </w:rPr>
      </w:pPr>
    </w:p>
    <w:p w14:paraId="43E40B92" w14:textId="77777777" w:rsidR="003508AE" w:rsidRDefault="003508AE" w:rsidP="000A5B0C">
      <w:pPr>
        <w:pStyle w:val="Corpotesto"/>
        <w:jc w:val="both"/>
        <w:rPr>
          <w:b/>
          <w:bCs/>
          <w:color w:val="3C1C6B" w:themeColor="accent6" w:themeTint="E6"/>
          <w:sz w:val="40"/>
          <w:szCs w:val="40"/>
          <w:u w:val="single"/>
        </w:rPr>
      </w:pPr>
    </w:p>
    <w:p w14:paraId="7C772B36" w14:textId="77777777" w:rsidR="003508AE" w:rsidRDefault="003508AE" w:rsidP="000A5B0C">
      <w:pPr>
        <w:pStyle w:val="Corpotesto"/>
        <w:jc w:val="both"/>
        <w:rPr>
          <w:b/>
          <w:bCs/>
          <w:color w:val="3C1C6B" w:themeColor="accent6" w:themeTint="E6"/>
          <w:sz w:val="40"/>
          <w:szCs w:val="40"/>
          <w:u w:val="single"/>
        </w:rPr>
      </w:pPr>
    </w:p>
    <w:p w14:paraId="590264C3" w14:textId="77777777" w:rsidR="003508AE" w:rsidRDefault="003508AE" w:rsidP="000A5B0C">
      <w:pPr>
        <w:pStyle w:val="Corpotesto"/>
        <w:jc w:val="both"/>
        <w:rPr>
          <w:b/>
          <w:bCs/>
          <w:color w:val="3C1C6B" w:themeColor="accent6" w:themeTint="E6"/>
          <w:sz w:val="40"/>
          <w:szCs w:val="40"/>
          <w:u w:val="single"/>
        </w:rPr>
      </w:pPr>
    </w:p>
    <w:p w14:paraId="7D063967" w14:textId="77777777" w:rsidR="003508AE" w:rsidRDefault="003508AE" w:rsidP="000A5B0C">
      <w:pPr>
        <w:pStyle w:val="Corpotesto"/>
        <w:jc w:val="both"/>
        <w:rPr>
          <w:b/>
          <w:bCs/>
          <w:color w:val="3C1C6B" w:themeColor="accent6" w:themeTint="E6"/>
          <w:sz w:val="40"/>
          <w:szCs w:val="40"/>
          <w:u w:val="single"/>
        </w:rPr>
      </w:pPr>
    </w:p>
    <w:p w14:paraId="5906130B" w14:textId="2EC14D8E" w:rsidR="00C93A92" w:rsidRPr="00011EEC" w:rsidRDefault="0031615E" w:rsidP="000A5B0C">
      <w:pPr>
        <w:pStyle w:val="Corpotesto"/>
        <w:jc w:val="both"/>
        <w:rPr>
          <w:sz w:val="40"/>
          <w:szCs w:val="40"/>
          <w:u w:val="single"/>
        </w:rPr>
      </w:pPr>
      <w:r w:rsidRPr="00011EEC">
        <w:rPr>
          <w:b/>
          <w:bCs/>
          <w:color w:val="3C1C6B" w:themeColor="accent6" w:themeTint="E6"/>
          <w:sz w:val="40"/>
          <w:szCs w:val="40"/>
          <w:u w:val="single"/>
        </w:rPr>
        <w:t xml:space="preserve">Opinion on the </w:t>
      </w:r>
      <w:r w:rsidR="003508AE">
        <w:rPr>
          <w:b/>
          <w:bCs/>
          <w:color w:val="3C1C6B" w:themeColor="accent6" w:themeTint="E6"/>
          <w:sz w:val="40"/>
          <w:szCs w:val="40"/>
          <w:u w:val="single"/>
        </w:rPr>
        <w:t>legal</w:t>
      </w:r>
      <w:r w:rsidR="006B22AB">
        <w:rPr>
          <w:b/>
          <w:bCs/>
          <w:color w:val="3C1C6B" w:themeColor="accent6" w:themeTint="E6"/>
          <w:sz w:val="40"/>
          <w:szCs w:val="40"/>
          <w:u w:val="single"/>
        </w:rPr>
        <w:t xml:space="preserve"> </w:t>
      </w:r>
      <w:r w:rsidRPr="00011EEC">
        <w:rPr>
          <w:b/>
          <w:bCs/>
          <w:color w:val="3C1C6B" w:themeColor="accent6" w:themeTint="E6"/>
          <w:sz w:val="40"/>
          <w:szCs w:val="40"/>
          <w:u w:val="single"/>
        </w:rPr>
        <w:t xml:space="preserve">framework of the mutual agreement procedure to be filed according to the EU </w:t>
      </w:r>
      <w:r w:rsidR="004235E8" w:rsidRPr="00011EEC">
        <w:rPr>
          <w:b/>
          <w:bCs/>
          <w:color w:val="3C1C6B" w:themeColor="accent6" w:themeTint="E6"/>
          <w:sz w:val="40"/>
          <w:szCs w:val="40"/>
          <w:u w:val="single"/>
        </w:rPr>
        <w:t>D</w:t>
      </w:r>
      <w:r w:rsidRPr="00011EEC">
        <w:rPr>
          <w:b/>
          <w:bCs/>
          <w:color w:val="3C1C6B" w:themeColor="accent6" w:themeTint="E6"/>
          <w:sz w:val="40"/>
          <w:szCs w:val="40"/>
          <w:u w:val="single"/>
        </w:rPr>
        <w:t>irective 2017/1852</w:t>
      </w:r>
    </w:p>
    <w:tbl>
      <w:tblPr>
        <w:tblpPr w:leftFromText="141" w:rightFromText="141" w:vertAnchor="page" w:horzAnchor="margin" w:tblpY="3270"/>
        <w:tblW w:w="5361" w:type="pct"/>
        <w:tblLayout w:type="fixed"/>
        <w:tblCellMar>
          <w:top w:w="57" w:type="dxa"/>
          <w:left w:w="0" w:type="dxa"/>
          <w:bottom w:w="57" w:type="dxa"/>
          <w:right w:w="0" w:type="dxa"/>
        </w:tblCellMar>
        <w:tblLook w:val="01E0" w:firstRow="1" w:lastRow="1" w:firstColumn="1" w:lastColumn="1" w:noHBand="0" w:noVBand="0"/>
      </w:tblPr>
      <w:tblGrid>
        <w:gridCol w:w="1844"/>
        <w:gridCol w:w="7881"/>
      </w:tblGrid>
      <w:tr w:rsidR="00312177" w:rsidRPr="00131A91" w14:paraId="068CBD57" w14:textId="77777777" w:rsidTr="00923CC8">
        <w:tc>
          <w:tcPr>
            <w:tcW w:w="948" w:type="pct"/>
          </w:tcPr>
          <w:p w14:paraId="318CA795" w14:textId="3C4E54F8" w:rsidR="00312177" w:rsidRPr="00083338" w:rsidRDefault="00312177" w:rsidP="00923CC8">
            <w:pPr>
              <w:pStyle w:val="FaxHeading1"/>
              <w:ind w:right="-370"/>
            </w:pPr>
          </w:p>
        </w:tc>
        <w:tc>
          <w:tcPr>
            <w:tcW w:w="4052" w:type="pct"/>
          </w:tcPr>
          <w:p w14:paraId="7C05D36B" w14:textId="0FD3D548" w:rsidR="00312177" w:rsidRPr="003508AE" w:rsidRDefault="00312177" w:rsidP="00923CC8">
            <w:pPr>
              <w:pStyle w:val="FaxText"/>
              <w:ind w:right="-370"/>
              <w:jc w:val="both"/>
              <w:rPr>
                <w:lang w:val="en-US"/>
              </w:rPr>
            </w:pPr>
          </w:p>
        </w:tc>
      </w:tr>
      <w:tr w:rsidR="00312177" w:rsidRPr="00083338" w14:paraId="2BE7F7DD" w14:textId="77777777" w:rsidTr="00923CC8">
        <w:tc>
          <w:tcPr>
            <w:tcW w:w="948" w:type="pct"/>
          </w:tcPr>
          <w:p w14:paraId="604863AF" w14:textId="41EFF1E5" w:rsidR="00312177" w:rsidRPr="00083338" w:rsidRDefault="00312177" w:rsidP="00923CC8">
            <w:pPr>
              <w:pStyle w:val="FaxHeading1"/>
              <w:ind w:right="-370"/>
              <w:jc w:val="both"/>
            </w:pPr>
          </w:p>
        </w:tc>
        <w:tc>
          <w:tcPr>
            <w:tcW w:w="4052" w:type="pct"/>
          </w:tcPr>
          <w:p w14:paraId="54250970" w14:textId="241E8563" w:rsidR="00312177" w:rsidRPr="00083338" w:rsidRDefault="00312177" w:rsidP="00923CC8">
            <w:pPr>
              <w:pStyle w:val="FaxText"/>
              <w:ind w:left="-5" w:right="-370" w:firstLine="5"/>
              <w:jc w:val="both"/>
            </w:pPr>
          </w:p>
        </w:tc>
      </w:tr>
      <w:tr w:rsidR="00312177" w:rsidRPr="00083338" w14:paraId="706DAFEE" w14:textId="77777777" w:rsidTr="00923CC8">
        <w:trPr>
          <w:trHeight w:val="17"/>
        </w:trPr>
        <w:tc>
          <w:tcPr>
            <w:tcW w:w="948" w:type="pct"/>
          </w:tcPr>
          <w:p w14:paraId="7D1C9B85" w14:textId="3BA9F956" w:rsidR="00312177" w:rsidRPr="00083338" w:rsidRDefault="00312177" w:rsidP="00923CC8">
            <w:pPr>
              <w:pStyle w:val="FaxHeading1"/>
              <w:ind w:right="-370"/>
              <w:jc w:val="both"/>
            </w:pPr>
          </w:p>
        </w:tc>
        <w:tc>
          <w:tcPr>
            <w:tcW w:w="4052" w:type="pct"/>
          </w:tcPr>
          <w:p w14:paraId="747CBD0E" w14:textId="77777777" w:rsidR="00312177" w:rsidRPr="00083338" w:rsidRDefault="00312177" w:rsidP="00011EEC">
            <w:pPr>
              <w:pStyle w:val="FaxText"/>
              <w:ind w:right="-370"/>
              <w:jc w:val="both"/>
            </w:pPr>
          </w:p>
        </w:tc>
      </w:tr>
    </w:tbl>
    <w:p w14:paraId="7A810EDE" w14:textId="68CAFF63" w:rsidR="001558E1" w:rsidRDefault="001558E1" w:rsidP="000A5B0C">
      <w:pPr>
        <w:pStyle w:val="Corpotesto"/>
        <w:jc w:val="both"/>
      </w:pPr>
    </w:p>
    <w:p w14:paraId="5A64A112" w14:textId="77777777" w:rsidR="003508AE" w:rsidRDefault="003508AE" w:rsidP="000A5B0C">
      <w:pPr>
        <w:pStyle w:val="Corpotesto"/>
        <w:jc w:val="both"/>
      </w:pPr>
    </w:p>
    <w:p w14:paraId="21E4515B" w14:textId="77777777" w:rsidR="003508AE" w:rsidRDefault="003508AE" w:rsidP="000A5B0C">
      <w:pPr>
        <w:pStyle w:val="Corpotesto"/>
        <w:jc w:val="both"/>
      </w:pPr>
    </w:p>
    <w:p w14:paraId="784AA7A5" w14:textId="77777777" w:rsidR="003508AE" w:rsidRDefault="003508AE" w:rsidP="000A5B0C">
      <w:pPr>
        <w:pStyle w:val="Corpotesto"/>
        <w:jc w:val="both"/>
      </w:pPr>
    </w:p>
    <w:p w14:paraId="38796324" w14:textId="77777777" w:rsidR="003508AE" w:rsidRDefault="003508AE" w:rsidP="000A5B0C">
      <w:pPr>
        <w:pStyle w:val="Corpotesto"/>
        <w:jc w:val="both"/>
      </w:pPr>
    </w:p>
    <w:p w14:paraId="75F4C65D" w14:textId="77777777" w:rsidR="003508AE" w:rsidRDefault="003508AE" w:rsidP="000A5B0C">
      <w:pPr>
        <w:pStyle w:val="Corpotesto"/>
        <w:jc w:val="both"/>
      </w:pPr>
    </w:p>
    <w:p w14:paraId="7E0744EE" w14:textId="77777777" w:rsidR="003508AE" w:rsidRDefault="003508AE" w:rsidP="000A5B0C">
      <w:pPr>
        <w:pStyle w:val="Corpotesto"/>
        <w:jc w:val="both"/>
      </w:pPr>
    </w:p>
    <w:p w14:paraId="428B0AFC" w14:textId="77777777" w:rsidR="003508AE" w:rsidRDefault="003508AE" w:rsidP="000A5B0C">
      <w:pPr>
        <w:pStyle w:val="Corpotesto"/>
        <w:jc w:val="both"/>
      </w:pPr>
    </w:p>
    <w:p w14:paraId="5AA192EA" w14:textId="77777777" w:rsidR="003508AE" w:rsidRDefault="003508AE" w:rsidP="000A5B0C">
      <w:pPr>
        <w:pStyle w:val="Corpotesto"/>
        <w:jc w:val="both"/>
      </w:pPr>
    </w:p>
    <w:p w14:paraId="7733834C" w14:textId="77777777" w:rsidR="003508AE" w:rsidRDefault="003508AE" w:rsidP="000A5B0C">
      <w:pPr>
        <w:pStyle w:val="Corpotesto"/>
        <w:jc w:val="both"/>
      </w:pPr>
    </w:p>
    <w:p w14:paraId="69D23E1F" w14:textId="77777777" w:rsidR="003508AE" w:rsidRDefault="003508AE" w:rsidP="000A5B0C">
      <w:pPr>
        <w:pStyle w:val="Corpotesto"/>
        <w:jc w:val="both"/>
      </w:pPr>
    </w:p>
    <w:p w14:paraId="1F31A227" w14:textId="77777777" w:rsidR="003508AE" w:rsidRDefault="003508AE" w:rsidP="000A5B0C">
      <w:pPr>
        <w:pStyle w:val="Corpotesto"/>
        <w:jc w:val="both"/>
      </w:pPr>
    </w:p>
    <w:p w14:paraId="371B22CE" w14:textId="77777777" w:rsidR="003508AE" w:rsidRDefault="003508AE" w:rsidP="000A5B0C">
      <w:pPr>
        <w:pStyle w:val="Corpotesto"/>
        <w:jc w:val="both"/>
      </w:pPr>
    </w:p>
    <w:p w14:paraId="21952A76" w14:textId="77777777" w:rsidR="003508AE" w:rsidRDefault="003508AE" w:rsidP="000A5B0C">
      <w:pPr>
        <w:pStyle w:val="Corpotesto"/>
        <w:jc w:val="both"/>
      </w:pPr>
    </w:p>
    <w:p w14:paraId="4F420DF0" w14:textId="77777777" w:rsidR="003508AE" w:rsidRDefault="003508AE" w:rsidP="000A5B0C">
      <w:pPr>
        <w:pStyle w:val="Corpotesto"/>
        <w:jc w:val="both"/>
      </w:pPr>
    </w:p>
    <w:p w14:paraId="6C563F70" w14:textId="77777777" w:rsidR="003508AE" w:rsidRDefault="003508AE" w:rsidP="000A5B0C">
      <w:pPr>
        <w:pStyle w:val="Corpotesto"/>
        <w:jc w:val="both"/>
      </w:pPr>
    </w:p>
    <w:p w14:paraId="1A254708" w14:textId="77777777" w:rsidR="003508AE" w:rsidRDefault="003508AE" w:rsidP="000A5B0C">
      <w:pPr>
        <w:pStyle w:val="Corpotesto"/>
        <w:jc w:val="both"/>
      </w:pPr>
    </w:p>
    <w:p w14:paraId="1DEBD3E4" w14:textId="77777777" w:rsidR="00302B24" w:rsidRPr="00302B24" w:rsidRDefault="00302B24" w:rsidP="000A5B0C">
      <w:pPr>
        <w:pStyle w:val="Corpotesto"/>
        <w:jc w:val="both"/>
        <w:rPr>
          <w:lang w:val="it-IT"/>
        </w:rPr>
      </w:pPr>
      <w:r w:rsidRPr="00302B24">
        <w:rPr>
          <w:lang w:val="it-IT"/>
        </w:rPr>
        <w:lastRenderedPageBreak/>
        <w:t xml:space="preserve">Messrs </w:t>
      </w:r>
    </w:p>
    <w:p w14:paraId="7EDBB166" w14:textId="24CE6B01" w:rsidR="006B22AB" w:rsidRPr="00302B24" w:rsidRDefault="006B22AB" w:rsidP="000A5B0C">
      <w:pPr>
        <w:pStyle w:val="Corpotesto"/>
        <w:jc w:val="both"/>
        <w:rPr>
          <w:lang w:val="it-IT"/>
        </w:rPr>
      </w:pPr>
      <w:r w:rsidRPr="00302B24">
        <w:rPr>
          <w:lang w:val="it-IT"/>
        </w:rPr>
        <w:t>Vimercati S.p.A.</w:t>
      </w:r>
    </w:p>
    <w:p w14:paraId="1D21AC30" w14:textId="7813BB35" w:rsidR="006B22AB" w:rsidRPr="006B22AB" w:rsidRDefault="006B22AB" w:rsidP="000A5B0C">
      <w:pPr>
        <w:pStyle w:val="Corpotesto"/>
        <w:jc w:val="both"/>
        <w:rPr>
          <w:lang w:val="it-IT"/>
        </w:rPr>
      </w:pPr>
      <w:r w:rsidRPr="006B22AB">
        <w:rPr>
          <w:lang w:val="it-IT"/>
        </w:rPr>
        <w:t xml:space="preserve">Via Vincenzo Monti, </w:t>
      </w:r>
      <w:r w:rsidR="00302B24">
        <w:rPr>
          <w:lang w:val="it-IT"/>
        </w:rPr>
        <w:t>38</w:t>
      </w:r>
    </w:p>
    <w:p w14:paraId="04667C3F" w14:textId="447E6226" w:rsidR="006B22AB" w:rsidRPr="006B22AB" w:rsidRDefault="006B22AB" w:rsidP="000A5B0C">
      <w:pPr>
        <w:pStyle w:val="Corpotesto"/>
        <w:jc w:val="both"/>
        <w:rPr>
          <w:lang w:val="en-US"/>
        </w:rPr>
      </w:pPr>
      <w:r w:rsidRPr="006B22AB">
        <w:rPr>
          <w:lang w:val="en-US"/>
        </w:rPr>
        <w:t>Pero (Milan)</w:t>
      </w:r>
    </w:p>
    <w:p w14:paraId="6C5A2B3F" w14:textId="77777777" w:rsidR="00302B24" w:rsidRDefault="00302B24" w:rsidP="000A5B0C">
      <w:pPr>
        <w:pStyle w:val="Corpotesto"/>
        <w:jc w:val="both"/>
      </w:pPr>
    </w:p>
    <w:p w14:paraId="62B04571" w14:textId="2770A546" w:rsidR="006B22AB" w:rsidRDefault="00302B24" w:rsidP="000A5B0C">
      <w:pPr>
        <w:pStyle w:val="Corpotesto"/>
        <w:jc w:val="both"/>
      </w:pPr>
      <w:r>
        <w:t xml:space="preserve">For </w:t>
      </w:r>
      <w:r w:rsidR="006B22AB">
        <w:t xml:space="preserve">the attention of </w:t>
      </w:r>
      <w:r>
        <w:t>Ingegner</w:t>
      </w:r>
      <w:r w:rsidR="006B22AB">
        <w:t xml:space="preserve"> Mauro Pizi</w:t>
      </w:r>
    </w:p>
    <w:p w14:paraId="7E240DAC" w14:textId="77777777" w:rsidR="006B22AB" w:rsidRDefault="006B22AB" w:rsidP="000A5B0C">
      <w:pPr>
        <w:pStyle w:val="Corpotesto"/>
        <w:jc w:val="both"/>
      </w:pPr>
    </w:p>
    <w:p w14:paraId="067FDCD1" w14:textId="5F0422FC" w:rsidR="003508AE" w:rsidRDefault="006B22AB" w:rsidP="000A5B0C">
      <w:pPr>
        <w:pStyle w:val="Corpotesto"/>
        <w:jc w:val="both"/>
      </w:pPr>
      <w:r>
        <w:t xml:space="preserve">Dear </w:t>
      </w:r>
      <w:r w:rsidR="00302B24">
        <w:t>Ingegner Pizi</w:t>
      </w:r>
      <w:r>
        <w:t>,</w:t>
      </w:r>
    </w:p>
    <w:p w14:paraId="07D7439A" w14:textId="4E9F3248" w:rsidR="00302B24" w:rsidRDefault="00302B24" w:rsidP="000A5B0C">
      <w:pPr>
        <w:pStyle w:val="Corpotesto"/>
        <w:jc w:val="both"/>
      </w:pPr>
      <w:r>
        <w:t>Further to our discussions and meetings we are pleased to release our opinion on the mutual agreement procedure</w:t>
      </w:r>
      <w:r w:rsidR="006D4F1A">
        <w:t>,</w:t>
      </w:r>
      <w:r>
        <w:t xml:space="preserve"> as better described in the paragraph that follows, </w:t>
      </w:r>
      <w:r w:rsidR="006D4F1A" w:rsidRPr="006D4F1A">
        <w:t xml:space="preserve">that Vimercati S.p.A. and Vimercati East Europe </w:t>
      </w:r>
      <w:r>
        <w:t>are filing.</w:t>
      </w:r>
    </w:p>
    <w:p w14:paraId="701014B6" w14:textId="66AB16AB" w:rsidR="00302B24" w:rsidRDefault="00302B24" w:rsidP="000A5B0C">
      <w:pPr>
        <w:pStyle w:val="Corpotesto"/>
        <w:jc w:val="both"/>
      </w:pPr>
    </w:p>
    <w:p w14:paraId="6C167957" w14:textId="77777777" w:rsidR="003508AE" w:rsidRDefault="003508AE" w:rsidP="000A5B0C">
      <w:pPr>
        <w:pStyle w:val="Corpotesto"/>
        <w:jc w:val="both"/>
      </w:pPr>
    </w:p>
    <w:sdt>
      <w:sdtPr>
        <w:rPr>
          <w:rFonts w:asciiTheme="minorHAnsi" w:eastAsia="Times New Roman" w:hAnsiTheme="minorHAnsi" w:cs="Times New Roman"/>
          <w:color w:val="auto"/>
          <w:sz w:val="18"/>
          <w:szCs w:val="18"/>
          <w:lang w:val="it-IT"/>
        </w:rPr>
        <w:id w:val="611793334"/>
        <w:docPartObj>
          <w:docPartGallery w:val="Table of Contents"/>
          <w:docPartUnique/>
        </w:docPartObj>
      </w:sdtPr>
      <w:sdtEndPr>
        <w:rPr>
          <w:b/>
          <w:bCs/>
          <w:lang w:val="en-GB"/>
        </w:rPr>
      </w:sdtEndPr>
      <w:sdtContent>
        <w:p w14:paraId="2AACDF8B" w14:textId="1823453A" w:rsidR="00705859" w:rsidRDefault="003508AE" w:rsidP="000A5B0C">
          <w:pPr>
            <w:pStyle w:val="Titolosommario"/>
            <w:jc w:val="both"/>
          </w:pPr>
          <w:r>
            <w:t>Table of contents</w:t>
          </w:r>
        </w:p>
        <w:p w14:paraId="180DF048" w14:textId="387D26C1" w:rsidR="007D59B9" w:rsidRDefault="00705859">
          <w:pPr>
            <w:pStyle w:val="Sommario1"/>
            <w:rPr>
              <w:rFonts w:eastAsiaTheme="minorEastAsia" w:cstheme="minorBidi"/>
              <w:noProof/>
              <w:kern w:val="2"/>
              <w:sz w:val="24"/>
              <w:szCs w:val="24"/>
              <w:lang w:val="it-IT" w:eastAsia="it-IT"/>
              <w14:ligatures w14:val="standardContextual"/>
            </w:rPr>
          </w:pPr>
          <w:r>
            <w:fldChar w:fldCharType="begin"/>
          </w:r>
          <w:r>
            <w:instrText xml:space="preserve"> TOC \o "1-3" \h \z \u </w:instrText>
          </w:r>
          <w:r>
            <w:fldChar w:fldCharType="separate"/>
          </w:r>
          <w:hyperlink w:anchor="_Toc201671050" w:history="1">
            <w:r w:rsidR="007D59B9" w:rsidRPr="00334DFF">
              <w:rPr>
                <w:rStyle w:val="Collegamentoipertestuale"/>
                <w:b/>
                <w:noProof/>
                <w:lang w:val="en-US"/>
              </w:rPr>
              <w:t>Scope of work</w:t>
            </w:r>
            <w:r w:rsidR="007D59B9">
              <w:rPr>
                <w:noProof/>
                <w:webHidden/>
              </w:rPr>
              <w:tab/>
            </w:r>
            <w:r w:rsidR="007D59B9">
              <w:rPr>
                <w:noProof/>
                <w:webHidden/>
              </w:rPr>
              <w:fldChar w:fldCharType="begin"/>
            </w:r>
            <w:r w:rsidR="007D59B9">
              <w:rPr>
                <w:noProof/>
                <w:webHidden/>
              </w:rPr>
              <w:instrText xml:space="preserve"> PAGEREF _Toc201671050 \h </w:instrText>
            </w:r>
            <w:r w:rsidR="007D59B9">
              <w:rPr>
                <w:noProof/>
                <w:webHidden/>
              </w:rPr>
            </w:r>
            <w:r w:rsidR="007D59B9">
              <w:rPr>
                <w:noProof/>
                <w:webHidden/>
              </w:rPr>
              <w:fldChar w:fldCharType="separate"/>
            </w:r>
            <w:r w:rsidR="003508AE">
              <w:rPr>
                <w:noProof/>
                <w:webHidden/>
              </w:rPr>
              <w:t>3</w:t>
            </w:r>
            <w:r w:rsidR="007D59B9">
              <w:rPr>
                <w:noProof/>
                <w:webHidden/>
              </w:rPr>
              <w:fldChar w:fldCharType="end"/>
            </w:r>
          </w:hyperlink>
        </w:p>
        <w:p w14:paraId="69C7C6CE" w14:textId="725814E2"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51" w:history="1">
            <w:r w:rsidRPr="00334DFF">
              <w:rPr>
                <w:rStyle w:val="Collegamentoipertestuale"/>
                <w:rFonts w:asciiTheme="majorHAnsi" w:hAnsiTheme="majorHAnsi" w:cstheme="majorHAnsi"/>
                <w:b/>
                <w:noProof/>
                <w:kern w:val="32"/>
                <w:lang w:val="it-IT"/>
              </w:rPr>
              <w:t>1.</w:t>
            </w:r>
            <w:r>
              <w:rPr>
                <w:rFonts w:eastAsiaTheme="minorEastAsia" w:cstheme="minorBidi"/>
                <w:noProof/>
                <w:kern w:val="2"/>
                <w:sz w:val="24"/>
                <w:szCs w:val="24"/>
                <w:lang w:val="it-IT" w:eastAsia="it-IT"/>
                <w14:ligatures w14:val="standardContextual"/>
              </w:rPr>
              <w:tab/>
            </w:r>
            <w:r w:rsidRPr="00334DFF">
              <w:rPr>
                <w:rStyle w:val="Collegamentoipertestuale"/>
                <w:rFonts w:asciiTheme="majorHAnsi" w:hAnsiTheme="majorHAnsi" w:cstheme="majorHAnsi"/>
                <w:b/>
                <w:noProof/>
                <w:kern w:val="32"/>
                <w:lang w:val="it-IT"/>
              </w:rPr>
              <w:t>The outlined case</w:t>
            </w:r>
            <w:r>
              <w:rPr>
                <w:noProof/>
                <w:webHidden/>
              </w:rPr>
              <w:tab/>
            </w:r>
            <w:r>
              <w:rPr>
                <w:noProof/>
                <w:webHidden/>
              </w:rPr>
              <w:fldChar w:fldCharType="begin"/>
            </w:r>
            <w:r>
              <w:rPr>
                <w:noProof/>
                <w:webHidden/>
              </w:rPr>
              <w:instrText xml:space="preserve"> PAGEREF _Toc201671051 \h </w:instrText>
            </w:r>
            <w:r>
              <w:rPr>
                <w:noProof/>
                <w:webHidden/>
              </w:rPr>
            </w:r>
            <w:r>
              <w:rPr>
                <w:noProof/>
                <w:webHidden/>
              </w:rPr>
              <w:fldChar w:fldCharType="separate"/>
            </w:r>
            <w:r w:rsidR="003508AE">
              <w:rPr>
                <w:noProof/>
                <w:webHidden/>
              </w:rPr>
              <w:t>3</w:t>
            </w:r>
            <w:r>
              <w:rPr>
                <w:noProof/>
                <w:webHidden/>
              </w:rPr>
              <w:fldChar w:fldCharType="end"/>
            </w:r>
          </w:hyperlink>
        </w:p>
        <w:p w14:paraId="3022C612" w14:textId="264766D1"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52" w:history="1">
            <w:r w:rsidRPr="00334DFF">
              <w:rPr>
                <w:rStyle w:val="Collegamentoipertestuale"/>
                <w:b/>
                <w:noProof/>
                <w:lang w:val="en-US"/>
              </w:rPr>
              <w:t>2.</w:t>
            </w:r>
            <w:r>
              <w:rPr>
                <w:rFonts w:eastAsiaTheme="minorEastAsia" w:cstheme="minorBidi"/>
                <w:noProof/>
                <w:kern w:val="2"/>
                <w:sz w:val="24"/>
                <w:szCs w:val="24"/>
                <w:lang w:val="it-IT" w:eastAsia="it-IT"/>
                <w14:ligatures w14:val="standardContextual"/>
              </w:rPr>
              <w:tab/>
            </w:r>
            <w:r w:rsidRPr="00334DFF">
              <w:rPr>
                <w:rStyle w:val="Collegamentoipertestuale"/>
                <w:b/>
                <w:noProof/>
                <w:lang w:val="en-US"/>
              </w:rPr>
              <w:t>Subject of this opinion and executive summary</w:t>
            </w:r>
            <w:r>
              <w:rPr>
                <w:noProof/>
                <w:webHidden/>
              </w:rPr>
              <w:tab/>
            </w:r>
            <w:r>
              <w:rPr>
                <w:noProof/>
                <w:webHidden/>
              </w:rPr>
              <w:fldChar w:fldCharType="begin"/>
            </w:r>
            <w:r>
              <w:rPr>
                <w:noProof/>
                <w:webHidden/>
              </w:rPr>
              <w:instrText xml:space="preserve"> PAGEREF _Toc201671052 \h </w:instrText>
            </w:r>
            <w:r>
              <w:rPr>
                <w:noProof/>
                <w:webHidden/>
              </w:rPr>
            </w:r>
            <w:r>
              <w:rPr>
                <w:noProof/>
                <w:webHidden/>
              </w:rPr>
              <w:fldChar w:fldCharType="separate"/>
            </w:r>
            <w:r w:rsidR="003508AE">
              <w:rPr>
                <w:noProof/>
                <w:webHidden/>
              </w:rPr>
              <w:t>3</w:t>
            </w:r>
            <w:r>
              <w:rPr>
                <w:noProof/>
                <w:webHidden/>
              </w:rPr>
              <w:fldChar w:fldCharType="end"/>
            </w:r>
          </w:hyperlink>
        </w:p>
        <w:p w14:paraId="41157655" w14:textId="64572402" w:rsidR="007D59B9" w:rsidRDefault="007D59B9">
          <w:pPr>
            <w:pStyle w:val="Sommario2"/>
            <w:rPr>
              <w:rFonts w:eastAsiaTheme="minorEastAsia" w:cstheme="minorBidi"/>
              <w:noProof/>
              <w:kern w:val="2"/>
              <w:sz w:val="24"/>
              <w:lang w:val="it-IT" w:eastAsia="it-IT"/>
              <w14:ligatures w14:val="standardContextual"/>
            </w:rPr>
          </w:pPr>
          <w:hyperlink w:anchor="_Toc201671053" w:history="1">
            <w:r w:rsidRPr="00334DFF">
              <w:rPr>
                <w:rStyle w:val="Collegamentoipertestuale"/>
                <w:b/>
                <w:bCs/>
                <w:noProof/>
                <w:lang w:val="en-US"/>
              </w:rPr>
              <w:t>2.1</w:t>
            </w:r>
            <w:r w:rsidRPr="00334DFF">
              <w:rPr>
                <w:rStyle w:val="Collegamentoipertestuale"/>
                <w:noProof/>
                <w:lang w:val="en-US"/>
              </w:rPr>
              <w:t xml:space="preserve"> </w:t>
            </w:r>
            <w:r w:rsidRPr="00334DFF">
              <w:rPr>
                <w:rStyle w:val="Collegamentoipertestuale"/>
                <w:b/>
                <w:bCs/>
                <w:noProof/>
                <w:lang w:val="en-US"/>
              </w:rPr>
              <w:t>Subject of this opinion</w:t>
            </w:r>
            <w:r>
              <w:rPr>
                <w:noProof/>
                <w:webHidden/>
              </w:rPr>
              <w:tab/>
            </w:r>
            <w:r>
              <w:rPr>
                <w:noProof/>
                <w:webHidden/>
              </w:rPr>
              <w:fldChar w:fldCharType="begin"/>
            </w:r>
            <w:r>
              <w:rPr>
                <w:noProof/>
                <w:webHidden/>
              </w:rPr>
              <w:instrText xml:space="preserve"> PAGEREF _Toc201671053 \h </w:instrText>
            </w:r>
            <w:r>
              <w:rPr>
                <w:noProof/>
                <w:webHidden/>
              </w:rPr>
            </w:r>
            <w:r>
              <w:rPr>
                <w:noProof/>
                <w:webHidden/>
              </w:rPr>
              <w:fldChar w:fldCharType="separate"/>
            </w:r>
            <w:r w:rsidR="003508AE">
              <w:rPr>
                <w:noProof/>
                <w:webHidden/>
              </w:rPr>
              <w:t>3</w:t>
            </w:r>
            <w:r>
              <w:rPr>
                <w:noProof/>
                <w:webHidden/>
              </w:rPr>
              <w:fldChar w:fldCharType="end"/>
            </w:r>
          </w:hyperlink>
        </w:p>
        <w:p w14:paraId="6F6973E4" w14:textId="5CA67D2F" w:rsidR="007D59B9" w:rsidRDefault="007D59B9">
          <w:pPr>
            <w:pStyle w:val="Sommario2"/>
            <w:rPr>
              <w:rFonts w:eastAsiaTheme="minorEastAsia" w:cstheme="minorBidi"/>
              <w:noProof/>
              <w:kern w:val="2"/>
              <w:sz w:val="24"/>
              <w:lang w:val="it-IT" w:eastAsia="it-IT"/>
              <w14:ligatures w14:val="standardContextual"/>
            </w:rPr>
          </w:pPr>
          <w:hyperlink w:anchor="_Toc201671054" w:history="1">
            <w:r w:rsidRPr="00334DFF">
              <w:rPr>
                <w:rStyle w:val="Collegamentoipertestuale"/>
                <w:b/>
                <w:bCs/>
                <w:noProof/>
                <w:lang w:val="en-US"/>
              </w:rPr>
              <w:t>2.2 Executive summary</w:t>
            </w:r>
            <w:r>
              <w:rPr>
                <w:noProof/>
                <w:webHidden/>
              </w:rPr>
              <w:tab/>
            </w:r>
            <w:r>
              <w:rPr>
                <w:noProof/>
                <w:webHidden/>
              </w:rPr>
              <w:fldChar w:fldCharType="begin"/>
            </w:r>
            <w:r>
              <w:rPr>
                <w:noProof/>
                <w:webHidden/>
              </w:rPr>
              <w:instrText xml:space="preserve"> PAGEREF _Toc201671054 \h </w:instrText>
            </w:r>
            <w:r>
              <w:rPr>
                <w:noProof/>
                <w:webHidden/>
              </w:rPr>
            </w:r>
            <w:r>
              <w:rPr>
                <w:noProof/>
                <w:webHidden/>
              </w:rPr>
              <w:fldChar w:fldCharType="separate"/>
            </w:r>
            <w:r w:rsidR="003508AE">
              <w:rPr>
                <w:noProof/>
                <w:webHidden/>
              </w:rPr>
              <w:t>3</w:t>
            </w:r>
            <w:r>
              <w:rPr>
                <w:noProof/>
                <w:webHidden/>
              </w:rPr>
              <w:fldChar w:fldCharType="end"/>
            </w:r>
          </w:hyperlink>
        </w:p>
        <w:p w14:paraId="3B8FE9F0" w14:textId="51655A21"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55" w:history="1">
            <w:r w:rsidRPr="00334DFF">
              <w:rPr>
                <w:rStyle w:val="Collegamentoipertestuale"/>
                <w:b/>
                <w:noProof/>
                <w:lang w:val="it-IT"/>
              </w:rPr>
              <w:t>3.</w:t>
            </w:r>
            <w:r>
              <w:rPr>
                <w:rFonts w:eastAsiaTheme="minorEastAsia" w:cstheme="minorBidi"/>
                <w:noProof/>
                <w:kern w:val="2"/>
                <w:sz w:val="24"/>
                <w:szCs w:val="24"/>
                <w:lang w:val="it-IT" w:eastAsia="it-IT"/>
                <w14:ligatures w14:val="standardContextual"/>
              </w:rPr>
              <w:tab/>
            </w:r>
            <w:r w:rsidRPr="00334DFF">
              <w:rPr>
                <w:rStyle w:val="Collegamentoipertestuale"/>
                <w:b/>
                <w:noProof/>
                <w:lang w:val="it-IT"/>
              </w:rPr>
              <w:t>Preliminary considerations</w:t>
            </w:r>
            <w:r>
              <w:rPr>
                <w:noProof/>
                <w:webHidden/>
              </w:rPr>
              <w:tab/>
            </w:r>
            <w:r>
              <w:rPr>
                <w:noProof/>
                <w:webHidden/>
              </w:rPr>
              <w:fldChar w:fldCharType="begin"/>
            </w:r>
            <w:r>
              <w:rPr>
                <w:noProof/>
                <w:webHidden/>
              </w:rPr>
              <w:instrText xml:space="preserve"> PAGEREF _Toc201671055 \h </w:instrText>
            </w:r>
            <w:r>
              <w:rPr>
                <w:noProof/>
                <w:webHidden/>
              </w:rPr>
            </w:r>
            <w:r>
              <w:rPr>
                <w:noProof/>
                <w:webHidden/>
              </w:rPr>
              <w:fldChar w:fldCharType="separate"/>
            </w:r>
            <w:r w:rsidR="003508AE">
              <w:rPr>
                <w:noProof/>
                <w:webHidden/>
              </w:rPr>
              <w:t>4</w:t>
            </w:r>
            <w:r>
              <w:rPr>
                <w:noProof/>
                <w:webHidden/>
              </w:rPr>
              <w:fldChar w:fldCharType="end"/>
            </w:r>
          </w:hyperlink>
        </w:p>
        <w:p w14:paraId="1B0E7C9F" w14:textId="75161358"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56" w:history="1">
            <w:r w:rsidRPr="00334DFF">
              <w:rPr>
                <w:rStyle w:val="Collegamentoipertestuale"/>
                <w:b/>
                <w:bCs/>
                <w:noProof/>
                <w:lang w:val="en-US"/>
              </w:rPr>
              <w:t>3.1</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Introduction</w:t>
            </w:r>
            <w:r>
              <w:rPr>
                <w:noProof/>
                <w:webHidden/>
              </w:rPr>
              <w:tab/>
            </w:r>
            <w:r>
              <w:rPr>
                <w:noProof/>
                <w:webHidden/>
              </w:rPr>
              <w:fldChar w:fldCharType="begin"/>
            </w:r>
            <w:r>
              <w:rPr>
                <w:noProof/>
                <w:webHidden/>
              </w:rPr>
              <w:instrText xml:space="preserve"> PAGEREF _Toc201671056 \h </w:instrText>
            </w:r>
            <w:r>
              <w:rPr>
                <w:noProof/>
                <w:webHidden/>
              </w:rPr>
            </w:r>
            <w:r>
              <w:rPr>
                <w:noProof/>
                <w:webHidden/>
              </w:rPr>
              <w:fldChar w:fldCharType="separate"/>
            </w:r>
            <w:r w:rsidR="003508AE">
              <w:rPr>
                <w:noProof/>
                <w:webHidden/>
              </w:rPr>
              <w:t>4</w:t>
            </w:r>
            <w:r>
              <w:rPr>
                <w:noProof/>
                <w:webHidden/>
              </w:rPr>
              <w:fldChar w:fldCharType="end"/>
            </w:r>
          </w:hyperlink>
        </w:p>
        <w:p w14:paraId="15CFB0D6" w14:textId="3A24B1FF"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57" w:history="1">
            <w:r w:rsidRPr="00334DFF">
              <w:rPr>
                <w:rStyle w:val="Collegamentoipertestuale"/>
                <w:b/>
                <w:bCs/>
                <w:noProof/>
                <w:lang w:val="en-US"/>
              </w:rPr>
              <w:t>3.2</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International best practice and domestic provisions concerning transfer pricing</w:t>
            </w:r>
            <w:r>
              <w:rPr>
                <w:noProof/>
                <w:webHidden/>
              </w:rPr>
              <w:tab/>
            </w:r>
            <w:r>
              <w:rPr>
                <w:noProof/>
                <w:webHidden/>
              </w:rPr>
              <w:fldChar w:fldCharType="begin"/>
            </w:r>
            <w:r>
              <w:rPr>
                <w:noProof/>
                <w:webHidden/>
              </w:rPr>
              <w:instrText xml:space="preserve"> PAGEREF _Toc201671057 \h </w:instrText>
            </w:r>
            <w:r>
              <w:rPr>
                <w:noProof/>
                <w:webHidden/>
              </w:rPr>
            </w:r>
            <w:r>
              <w:rPr>
                <w:noProof/>
                <w:webHidden/>
              </w:rPr>
              <w:fldChar w:fldCharType="separate"/>
            </w:r>
            <w:r w:rsidR="003508AE">
              <w:rPr>
                <w:noProof/>
                <w:webHidden/>
              </w:rPr>
              <w:t>4</w:t>
            </w:r>
            <w:r>
              <w:rPr>
                <w:noProof/>
                <w:webHidden/>
              </w:rPr>
              <w:fldChar w:fldCharType="end"/>
            </w:r>
          </w:hyperlink>
        </w:p>
        <w:p w14:paraId="5BBFC9BF" w14:textId="5C34B240" w:rsidR="007D59B9" w:rsidRDefault="007D59B9">
          <w:pPr>
            <w:pStyle w:val="Sommario2"/>
            <w:rPr>
              <w:rFonts w:eastAsiaTheme="minorEastAsia" w:cstheme="minorBidi"/>
              <w:noProof/>
              <w:kern w:val="2"/>
              <w:sz w:val="24"/>
              <w:lang w:val="it-IT" w:eastAsia="it-IT"/>
              <w14:ligatures w14:val="standardContextual"/>
            </w:rPr>
          </w:pPr>
          <w:hyperlink w:anchor="_Toc201671058" w:history="1">
            <w:r w:rsidRPr="00334DFF">
              <w:rPr>
                <w:rStyle w:val="Collegamentoipertestuale"/>
                <w:b/>
                <w:bCs/>
                <w:noProof/>
                <w:lang w:val="en-US"/>
              </w:rPr>
              <w:t>3.3 Transfer pricing and double taxation</w:t>
            </w:r>
            <w:r>
              <w:rPr>
                <w:noProof/>
                <w:webHidden/>
              </w:rPr>
              <w:tab/>
            </w:r>
            <w:r>
              <w:rPr>
                <w:noProof/>
                <w:webHidden/>
              </w:rPr>
              <w:fldChar w:fldCharType="begin"/>
            </w:r>
            <w:r>
              <w:rPr>
                <w:noProof/>
                <w:webHidden/>
              </w:rPr>
              <w:instrText xml:space="preserve"> PAGEREF _Toc201671058 \h </w:instrText>
            </w:r>
            <w:r>
              <w:rPr>
                <w:noProof/>
                <w:webHidden/>
              </w:rPr>
            </w:r>
            <w:r>
              <w:rPr>
                <w:noProof/>
                <w:webHidden/>
              </w:rPr>
              <w:fldChar w:fldCharType="separate"/>
            </w:r>
            <w:r w:rsidR="003508AE">
              <w:rPr>
                <w:noProof/>
                <w:webHidden/>
              </w:rPr>
              <w:t>5</w:t>
            </w:r>
            <w:r>
              <w:rPr>
                <w:noProof/>
                <w:webHidden/>
              </w:rPr>
              <w:fldChar w:fldCharType="end"/>
            </w:r>
          </w:hyperlink>
        </w:p>
        <w:p w14:paraId="67AB9394" w14:textId="6598670E"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59" w:history="1">
            <w:r w:rsidRPr="00334DFF">
              <w:rPr>
                <w:rStyle w:val="Collegamentoipertestuale"/>
                <w:b/>
                <w:bCs/>
                <w:noProof/>
                <w:lang w:val="en-US"/>
              </w:rPr>
              <w:t>3.4</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Domestic and international instruments to remove double taxation</w:t>
            </w:r>
            <w:r>
              <w:rPr>
                <w:noProof/>
                <w:webHidden/>
              </w:rPr>
              <w:tab/>
            </w:r>
            <w:r>
              <w:rPr>
                <w:noProof/>
                <w:webHidden/>
              </w:rPr>
              <w:fldChar w:fldCharType="begin"/>
            </w:r>
            <w:r>
              <w:rPr>
                <w:noProof/>
                <w:webHidden/>
              </w:rPr>
              <w:instrText xml:space="preserve"> PAGEREF _Toc201671059 \h </w:instrText>
            </w:r>
            <w:r>
              <w:rPr>
                <w:noProof/>
                <w:webHidden/>
              </w:rPr>
            </w:r>
            <w:r>
              <w:rPr>
                <w:noProof/>
                <w:webHidden/>
              </w:rPr>
              <w:fldChar w:fldCharType="separate"/>
            </w:r>
            <w:r w:rsidR="003508AE">
              <w:rPr>
                <w:noProof/>
                <w:webHidden/>
              </w:rPr>
              <w:t>5</w:t>
            </w:r>
            <w:r>
              <w:rPr>
                <w:noProof/>
                <w:webHidden/>
              </w:rPr>
              <w:fldChar w:fldCharType="end"/>
            </w:r>
          </w:hyperlink>
        </w:p>
        <w:p w14:paraId="3C4983E3" w14:textId="4BEFFFBB"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60" w:history="1">
            <w:r w:rsidRPr="00334DFF">
              <w:rPr>
                <w:rStyle w:val="Collegamentoipertestuale"/>
                <w:b/>
                <w:noProof/>
                <w:lang w:val="en-US"/>
              </w:rPr>
              <w:t>4.</w:t>
            </w:r>
            <w:r>
              <w:rPr>
                <w:rFonts w:eastAsiaTheme="minorEastAsia" w:cstheme="minorBidi"/>
                <w:noProof/>
                <w:kern w:val="2"/>
                <w:sz w:val="24"/>
                <w:szCs w:val="24"/>
                <w:lang w:val="it-IT" w:eastAsia="it-IT"/>
                <w14:ligatures w14:val="standardContextual"/>
              </w:rPr>
              <w:tab/>
            </w:r>
            <w:r w:rsidRPr="00334DFF">
              <w:rPr>
                <w:rStyle w:val="Collegamentoipertestuale"/>
                <w:b/>
                <w:noProof/>
                <w:lang w:val="en-US"/>
              </w:rPr>
              <w:t>European instruments available to remove double taxation</w:t>
            </w:r>
            <w:r>
              <w:rPr>
                <w:noProof/>
                <w:webHidden/>
              </w:rPr>
              <w:tab/>
            </w:r>
            <w:r>
              <w:rPr>
                <w:noProof/>
                <w:webHidden/>
              </w:rPr>
              <w:fldChar w:fldCharType="begin"/>
            </w:r>
            <w:r>
              <w:rPr>
                <w:noProof/>
                <w:webHidden/>
              </w:rPr>
              <w:instrText xml:space="preserve"> PAGEREF _Toc201671060 \h </w:instrText>
            </w:r>
            <w:r>
              <w:rPr>
                <w:noProof/>
                <w:webHidden/>
              </w:rPr>
            </w:r>
            <w:r>
              <w:rPr>
                <w:noProof/>
                <w:webHidden/>
              </w:rPr>
              <w:fldChar w:fldCharType="separate"/>
            </w:r>
            <w:r w:rsidR="003508AE">
              <w:rPr>
                <w:noProof/>
                <w:webHidden/>
              </w:rPr>
              <w:t>6</w:t>
            </w:r>
            <w:r>
              <w:rPr>
                <w:noProof/>
                <w:webHidden/>
              </w:rPr>
              <w:fldChar w:fldCharType="end"/>
            </w:r>
          </w:hyperlink>
        </w:p>
        <w:p w14:paraId="6B555D40" w14:textId="1B0069E5"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61" w:history="1">
            <w:r w:rsidRPr="00334DFF">
              <w:rPr>
                <w:rStyle w:val="Collegamentoipertestuale"/>
                <w:b/>
                <w:bCs/>
                <w:noProof/>
                <w:lang w:val="en-US"/>
              </w:rPr>
              <w:t>4.1</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Introduction</w:t>
            </w:r>
            <w:r>
              <w:rPr>
                <w:noProof/>
                <w:webHidden/>
              </w:rPr>
              <w:tab/>
            </w:r>
            <w:r>
              <w:rPr>
                <w:noProof/>
                <w:webHidden/>
              </w:rPr>
              <w:fldChar w:fldCharType="begin"/>
            </w:r>
            <w:r>
              <w:rPr>
                <w:noProof/>
                <w:webHidden/>
              </w:rPr>
              <w:instrText xml:space="preserve"> PAGEREF _Toc201671061 \h </w:instrText>
            </w:r>
            <w:r>
              <w:rPr>
                <w:noProof/>
                <w:webHidden/>
              </w:rPr>
            </w:r>
            <w:r>
              <w:rPr>
                <w:noProof/>
                <w:webHidden/>
              </w:rPr>
              <w:fldChar w:fldCharType="separate"/>
            </w:r>
            <w:r w:rsidR="003508AE">
              <w:rPr>
                <w:noProof/>
                <w:webHidden/>
              </w:rPr>
              <w:t>6</w:t>
            </w:r>
            <w:r>
              <w:rPr>
                <w:noProof/>
                <w:webHidden/>
              </w:rPr>
              <w:fldChar w:fldCharType="end"/>
            </w:r>
          </w:hyperlink>
        </w:p>
        <w:p w14:paraId="44E74C85" w14:textId="511FAEF6"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62" w:history="1">
            <w:r w:rsidRPr="00334DFF">
              <w:rPr>
                <w:rStyle w:val="Collegamentoipertestuale"/>
                <w:b/>
                <w:bCs/>
                <w:noProof/>
                <w:lang w:val="en-US"/>
              </w:rPr>
              <w:t>4.2</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The EU Directive on dispute resolution</w:t>
            </w:r>
            <w:r>
              <w:rPr>
                <w:noProof/>
                <w:webHidden/>
              </w:rPr>
              <w:tab/>
            </w:r>
            <w:r>
              <w:rPr>
                <w:noProof/>
                <w:webHidden/>
              </w:rPr>
              <w:fldChar w:fldCharType="begin"/>
            </w:r>
            <w:r>
              <w:rPr>
                <w:noProof/>
                <w:webHidden/>
              </w:rPr>
              <w:instrText xml:space="preserve"> PAGEREF _Toc201671062 \h </w:instrText>
            </w:r>
            <w:r>
              <w:rPr>
                <w:noProof/>
                <w:webHidden/>
              </w:rPr>
            </w:r>
            <w:r>
              <w:rPr>
                <w:noProof/>
                <w:webHidden/>
              </w:rPr>
              <w:fldChar w:fldCharType="separate"/>
            </w:r>
            <w:r w:rsidR="003508AE">
              <w:rPr>
                <w:noProof/>
                <w:webHidden/>
              </w:rPr>
              <w:t>6</w:t>
            </w:r>
            <w:r>
              <w:rPr>
                <w:noProof/>
                <w:webHidden/>
              </w:rPr>
              <w:fldChar w:fldCharType="end"/>
            </w:r>
          </w:hyperlink>
        </w:p>
        <w:p w14:paraId="786F7649" w14:textId="4419E222"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63" w:history="1">
            <w:r w:rsidRPr="00334DFF">
              <w:rPr>
                <w:rStyle w:val="Collegamentoipertestuale"/>
                <w:b/>
                <w:bCs/>
                <w:noProof/>
                <w:lang w:val="en-US"/>
              </w:rPr>
              <w:t>4.3</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The implementation of the EU Directive 2017/1852 into the domestic law</w:t>
            </w:r>
            <w:r>
              <w:rPr>
                <w:noProof/>
                <w:webHidden/>
              </w:rPr>
              <w:tab/>
            </w:r>
            <w:r>
              <w:rPr>
                <w:noProof/>
                <w:webHidden/>
              </w:rPr>
              <w:fldChar w:fldCharType="begin"/>
            </w:r>
            <w:r>
              <w:rPr>
                <w:noProof/>
                <w:webHidden/>
              </w:rPr>
              <w:instrText xml:space="preserve"> PAGEREF _Toc201671063 \h </w:instrText>
            </w:r>
            <w:r>
              <w:rPr>
                <w:noProof/>
                <w:webHidden/>
              </w:rPr>
            </w:r>
            <w:r>
              <w:rPr>
                <w:noProof/>
                <w:webHidden/>
              </w:rPr>
              <w:fldChar w:fldCharType="separate"/>
            </w:r>
            <w:r w:rsidR="003508AE">
              <w:rPr>
                <w:noProof/>
                <w:webHidden/>
              </w:rPr>
              <w:t>7</w:t>
            </w:r>
            <w:r>
              <w:rPr>
                <w:noProof/>
                <w:webHidden/>
              </w:rPr>
              <w:fldChar w:fldCharType="end"/>
            </w:r>
          </w:hyperlink>
        </w:p>
        <w:p w14:paraId="6719C4E7" w14:textId="4D863BE7"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64" w:history="1">
            <w:r w:rsidRPr="00334DFF">
              <w:rPr>
                <w:rStyle w:val="Collegamentoipertestuale"/>
                <w:b/>
                <w:noProof/>
                <w:lang w:val="en-US"/>
              </w:rPr>
              <w:t>5.</w:t>
            </w:r>
            <w:r>
              <w:rPr>
                <w:rFonts w:eastAsiaTheme="minorEastAsia" w:cstheme="minorBidi"/>
                <w:noProof/>
                <w:kern w:val="2"/>
                <w:sz w:val="24"/>
                <w:szCs w:val="24"/>
                <w:lang w:val="it-IT" w:eastAsia="it-IT"/>
                <w14:ligatures w14:val="standardContextual"/>
              </w:rPr>
              <w:tab/>
            </w:r>
            <w:r w:rsidRPr="00334DFF">
              <w:rPr>
                <w:rStyle w:val="Collegamentoipertestuale"/>
                <w:b/>
                <w:noProof/>
                <w:lang w:val="en-US"/>
              </w:rPr>
              <w:t>The procedure ruled by the EU Directive</w:t>
            </w:r>
            <w:r>
              <w:rPr>
                <w:noProof/>
                <w:webHidden/>
              </w:rPr>
              <w:tab/>
            </w:r>
            <w:r>
              <w:rPr>
                <w:noProof/>
                <w:webHidden/>
              </w:rPr>
              <w:fldChar w:fldCharType="begin"/>
            </w:r>
            <w:r>
              <w:rPr>
                <w:noProof/>
                <w:webHidden/>
              </w:rPr>
              <w:instrText xml:space="preserve"> PAGEREF _Toc201671064 \h </w:instrText>
            </w:r>
            <w:r>
              <w:rPr>
                <w:noProof/>
                <w:webHidden/>
              </w:rPr>
            </w:r>
            <w:r>
              <w:rPr>
                <w:noProof/>
                <w:webHidden/>
              </w:rPr>
              <w:fldChar w:fldCharType="separate"/>
            </w:r>
            <w:r w:rsidR="003508AE">
              <w:rPr>
                <w:noProof/>
                <w:webHidden/>
              </w:rPr>
              <w:t>7</w:t>
            </w:r>
            <w:r>
              <w:rPr>
                <w:noProof/>
                <w:webHidden/>
              </w:rPr>
              <w:fldChar w:fldCharType="end"/>
            </w:r>
          </w:hyperlink>
        </w:p>
        <w:p w14:paraId="62A3D1D2" w14:textId="043EEF91" w:rsidR="007D59B9" w:rsidRDefault="007D59B9">
          <w:pPr>
            <w:pStyle w:val="Sommario2"/>
            <w:rPr>
              <w:rFonts w:eastAsiaTheme="minorEastAsia" w:cstheme="minorBidi"/>
              <w:noProof/>
              <w:kern w:val="2"/>
              <w:sz w:val="24"/>
              <w:lang w:val="it-IT" w:eastAsia="it-IT"/>
              <w14:ligatures w14:val="standardContextual"/>
            </w:rPr>
          </w:pPr>
          <w:hyperlink w:anchor="_Toc201671065" w:history="1">
            <w:r w:rsidRPr="00334DFF">
              <w:rPr>
                <w:rStyle w:val="Collegamentoipertestuale"/>
                <w:b/>
                <w:bCs/>
                <w:noProof/>
              </w:rPr>
              <w:t>5.1 Submission of the Request</w:t>
            </w:r>
            <w:r>
              <w:rPr>
                <w:noProof/>
                <w:webHidden/>
              </w:rPr>
              <w:tab/>
            </w:r>
            <w:r>
              <w:rPr>
                <w:noProof/>
                <w:webHidden/>
              </w:rPr>
              <w:fldChar w:fldCharType="begin"/>
            </w:r>
            <w:r>
              <w:rPr>
                <w:noProof/>
                <w:webHidden/>
              </w:rPr>
              <w:instrText xml:space="preserve"> PAGEREF _Toc201671065 \h </w:instrText>
            </w:r>
            <w:r>
              <w:rPr>
                <w:noProof/>
                <w:webHidden/>
              </w:rPr>
            </w:r>
            <w:r>
              <w:rPr>
                <w:noProof/>
                <w:webHidden/>
              </w:rPr>
              <w:fldChar w:fldCharType="separate"/>
            </w:r>
            <w:r w:rsidR="003508AE">
              <w:rPr>
                <w:noProof/>
                <w:webHidden/>
              </w:rPr>
              <w:t>7</w:t>
            </w:r>
            <w:r>
              <w:rPr>
                <w:noProof/>
                <w:webHidden/>
              </w:rPr>
              <w:fldChar w:fldCharType="end"/>
            </w:r>
          </w:hyperlink>
        </w:p>
        <w:p w14:paraId="41B54173" w14:textId="2ED99172" w:rsidR="007D59B9" w:rsidRDefault="007D59B9">
          <w:pPr>
            <w:pStyle w:val="Sommario2"/>
            <w:rPr>
              <w:rFonts w:eastAsiaTheme="minorEastAsia" w:cstheme="minorBidi"/>
              <w:noProof/>
              <w:kern w:val="2"/>
              <w:sz w:val="24"/>
              <w:lang w:val="it-IT" w:eastAsia="it-IT"/>
              <w14:ligatures w14:val="standardContextual"/>
            </w:rPr>
          </w:pPr>
          <w:hyperlink w:anchor="_Toc201671066" w:history="1">
            <w:r w:rsidRPr="00334DFF">
              <w:rPr>
                <w:rStyle w:val="Collegamentoipertestuale"/>
                <w:b/>
                <w:bCs/>
                <w:noProof/>
              </w:rPr>
              <w:t>5.2 The preliminary phase</w:t>
            </w:r>
            <w:r>
              <w:rPr>
                <w:noProof/>
                <w:webHidden/>
              </w:rPr>
              <w:tab/>
            </w:r>
            <w:r>
              <w:rPr>
                <w:noProof/>
                <w:webHidden/>
              </w:rPr>
              <w:fldChar w:fldCharType="begin"/>
            </w:r>
            <w:r>
              <w:rPr>
                <w:noProof/>
                <w:webHidden/>
              </w:rPr>
              <w:instrText xml:space="preserve"> PAGEREF _Toc201671066 \h </w:instrText>
            </w:r>
            <w:r>
              <w:rPr>
                <w:noProof/>
                <w:webHidden/>
              </w:rPr>
            </w:r>
            <w:r>
              <w:rPr>
                <w:noProof/>
                <w:webHidden/>
              </w:rPr>
              <w:fldChar w:fldCharType="separate"/>
            </w:r>
            <w:r w:rsidR="003508AE">
              <w:rPr>
                <w:noProof/>
                <w:webHidden/>
              </w:rPr>
              <w:t>7</w:t>
            </w:r>
            <w:r>
              <w:rPr>
                <w:noProof/>
                <w:webHidden/>
              </w:rPr>
              <w:fldChar w:fldCharType="end"/>
            </w:r>
          </w:hyperlink>
        </w:p>
        <w:p w14:paraId="619CC2A6" w14:textId="7D2548BB" w:rsidR="007D59B9" w:rsidRDefault="007D59B9">
          <w:pPr>
            <w:pStyle w:val="Sommario2"/>
            <w:rPr>
              <w:rFonts w:eastAsiaTheme="minorEastAsia" w:cstheme="minorBidi"/>
              <w:noProof/>
              <w:kern w:val="2"/>
              <w:sz w:val="24"/>
              <w:lang w:val="it-IT" w:eastAsia="it-IT"/>
              <w14:ligatures w14:val="standardContextual"/>
            </w:rPr>
          </w:pPr>
          <w:hyperlink w:anchor="_Toc201671067" w:history="1">
            <w:r w:rsidRPr="00334DFF">
              <w:rPr>
                <w:rStyle w:val="Collegamentoipertestuale"/>
                <w:b/>
                <w:bCs/>
                <w:noProof/>
              </w:rPr>
              <w:t>5.3 Decision of the Competent Authority on the Request for Initiation</w:t>
            </w:r>
            <w:r>
              <w:rPr>
                <w:noProof/>
                <w:webHidden/>
              </w:rPr>
              <w:tab/>
            </w:r>
            <w:r>
              <w:rPr>
                <w:noProof/>
                <w:webHidden/>
              </w:rPr>
              <w:fldChar w:fldCharType="begin"/>
            </w:r>
            <w:r>
              <w:rPr>
                <w:noProof/>
                <w:webHidden/>
              </w:rPr>
              <w:instrText xml:space="preserve"> PAGEREF _Toc201671067 \h </w:instrText>
            </w:r>
            <w:r>
              <w:rPr>
                <w:noProof/>
                <w:webHidden/>
              </w:rPr>
            </w:r>
            <w:r>
              <w:rPr>
                <w:noProof/>
                <w:webHidden/>
              </w:rPr>
              <w:fldChar w:fldCharType="separate"/>
            </w:r>
            <w:r w:rsidR="003508AE">
              <w:rPr>
                <w:noProof/>
                <w:webHidden/>
              </w:rPr>
              <w:t>7</w:t>
            </w:r>
            <w:r>
              <w:rPr>
                <w:noProof/>
                <w:webHidden/>
              </w:rPr>
              <w:fldChar w:fldCharType="end"/>
            </w:r>
          </w:hyperlink>
        </w:p>
        <w:p w14:paraId="55E44D65" w14:textId="113C3B9A" w:rsidR="007D59B9" w:rsidRDefault="007D59B9">
          <w:pPr>
            <w:pStyle w:val="Sommario2"/>
            <w:rPr>
              <w:rFonts w:eastAsiaTheme="minorEastAsia" w:cstheme="minorBidi"/>
              <w:noProof/>
              <w:kern w:val="2"/>
              <w:sz w:val="24"/>
              <w:lang w:val="it-IT" w:eastAsia="it-IT"/>
              <w14:ligatures w14:val="standardContextual"/>
            </w:rPr>
          </w:pPr>
          <w:hyperlink w:anchor="_Toc201671068" w:history="1">
            <w:r w:rsidRPr="00334DFF">
              <w:rPr>
                <w:rStyle w:val="Collegamentoipertestuale"/>
                <w:b/>
                <w:bCs/>
                <w:noProof/>
              </w:rPr>
              <w:t>5.4 Right to Appeal Against the Rejection</w:t>
            </w:r>
            <w:r>
              <w:rPr>
                <w:noProof/>
                <w:webHidden/>
              </w:rPr>
              <w:tab/>
            </w:r>
            <w:r>
              <w:rPr>
                <w:noProof/>
                <w:webHidden/>
              </w:rPr>
              <w:fldChar w:fldCharType="begin"/>
            </w:r>
            <w:r>
              <w:rPr>
                <w:noProof/>
                <w:webHidden/>
              </w:rPr>
              <w:instrText xml:space="preserve"> PAGEREF _Toc201671068 \h </w:instrText>
            </w:r>
            <w:r>
              <w:rPr>
                <w:noProof/>
                <w:webHidden/>
              </w:rPr>
            </w:r>
            <w:r>
              <w:rPr>
                <w:noProof/>
                <w:webHidden/>
              </w:rPr>
              <w:fldChar w:fldCharType="separate"/>
            </w:r>
            <w:r w:rsidR="003508AE">
              <w:rPr>
                <w:noProof/>
                <w:webHidden/>
              </w:rPr>
              <w:t>7</w:t>
            </w:r>
            <w:r>
              <w:rPr>
                <w:noProof/>
                <w:webHidden/>
              </w:rPr>
              <w:fldChar w:fldCharType="end"/>
            </w:r>
          </w:hyperlink>
        </w:p>
        <w:p w14:paraId="3279F588" w14:textId="4C573535" w:rsidR="007D59B9" w:rsidRDefault="007D59B9">
          <w:pPr>
            <w:pStyle w:val="Sommario2"/>
            <w:rPr>
              <w:rFonts w:eastAsiaTheme="minorEastAsia" w:cstheme="minorBidi"/>
              <w:noProof/>
              <w:kern w:val="2"/>
              <w:sz w:val="24"/>
              <w:lang w:val="it-IT" w:eastAsia="it-IT"/>
              <w14:ligatures w14:val="standardContextual"/>
            </w:rPr>
          </w:pPr>
          <w:hyperlink w:anchor="_Toc201671069" w:history="1">
            <w:r w:rsidRPr="00334DFF">
              <w:rPr>
                <w:rStyle w:val="Collegamentoipertestuale"/>
                <w:b/>
                <w:bCs/>
                <w:noProof/>
              </w:rPr>
              <w:t>5.5 The Mutual Agreement Procedure</w:t>
            </w:r>
            <w:r>
              <w:rPr>
                <w:noProof/>
                <w:webHidden/>
              </w:rPr>
              <w:tab/>
            </w:r>
            <w:r>
              <w:rPr>
                <w:noProof/>
                <w:webHidden/>
              </w:rPr>
              <w:fldChar w:fldCharType="begin"/>
            </w:r>
            <w:r>
              <w:rPr>
                <w:noProof/>
                <w:webHidden/>
              </w:rPr>
              <w:instrText xml:space="preserve"> PAGEREF _Toc201671069 \h </w:instrText>
            </w:r>
            <w:r>
              <w:rPr>
                <w:noProof/>
                <w:webHidden/>
              </w:rPr>
            </w:r>
            <w:r>
              <w:rPr>
                <w:noProof/>
                <w:webHidden/>
              </w:rPr>
              <w:fldChar w:fldCharType="separate"/>
            </w:r>
            <w:r w:rsidR="003508AE">
              <w:rPr>
                <w:noProof/>
                <w:webHidden/>
              </w:rPr>
              <w:t>7</w:t>
            </w:r>
            <w:r>
              <w:rPr>
                <w:noProof/>
                <w:webHidden/>
              </w:rPr>
              <w:fldChar w:fldCharType="end"/>
            </w:r>
          </w:hyperlink>
        </w:p>
        <w:p w14:paraId="0BCD3415" w14:textId="64F52AEA" w:rsidR="007D59B9" w:rsidRDefault="007D59B9">
          <w:pPr>
            <w:pStyle w:val="Sommario2"/>
            <w:rPr>
              <w:rFonts w:eastAsiaTheme="minorEastAsia" w:cstheme="minorBidi"/>
              <w:noProof/>
              <w:kern w:val="2"/>
              <w:sz w:val="24"/>
              <w:lang w:val="it-IT" w:eastAsia="it-IT"/>
              <w14:ligatures w14:val="standardContextual"/>
            </w:rPr>
          </w:pPr>
          <w:hyperlink w:anchor="_Toc201671070" w:history="1">
            <w:r w:rsidRPr="00334DFF">
              <w:rPr>
                <w:rStyle w:val="Collegamentoipertestuale"/>
                <w:b/>
                <w:bCs/>
                <w:noProof/>
              </w:rPr>
              <w:t>5.6 The Advisory Commission</w:t>
            </w:r>
            <w:r>
              <w:rPr>
                <w:noProof/>
                <w:webHidden/>
              </w:rPr>
              <w:tab/>
            </w:r>
            <w:r>
              <w:rPr>
                <w:noProof/>
                <w:webHidden/>
              </w:rPr>
              <w:fldChar w:fldCharType="begin"/>
            </w:r>
            <w:r>
              <w:rPr>
                <w:noProof/>
                <w:webHidden/>
              </w:rPr>
              <w:instrText xml:space="preserve"> PAGEREF _Toc201671070 \h </w:instrText>
            </w:r>
            <w:r>
              <w:rPr>
                <w:noProof/>
                <w:webHidden/>
              </w:rPr>
            </w:r>
            <w:r>
              <w:rPr>
                <w:noProof/>
                <w:webHidden/>
              </w:rPr>
              <w:fldChar w:fldCharType="separate"/>
            </w:r>
            <w:r w:rsidR="003508AE">
              <w:rPr>
                <w:noProof/>
                <w:webHidden/>
              </w:rPr>
              <w:t>8</w:t>
            </w:r>
            <w:r>
              <w:rPr>
                <w:noProof/>
                <w:webHidden/>
              </w:rPr>
              <w:fldChar w:fldCharType="end"/>
            </w:r>
          </w:hyperlink>
        </w:p>
        <w:p w14:paraId="5A53BCA7" w14:textId="371E40F9" w:rsidR="007D59B9" w:rsidRDefault="007D59B9">
          <w:pPr>
            <w:pStyle w:val="Sommario3"/>
            <w:rPr>
              <w:rFonts w:eastAsiaTheme="minorEastAsia" w:cstheme="minorBidi"/>
              <w:noProof/>
              <w:kern w:val="2"/>
              <w:sz w:val="24"/>
              <w:lang w:val="it-IT" w:eastAsia="it-IT"/>
              <w14:ligatures w14:val="standardContextual"/>
            </w:rPr>
          </w:pPr>
          <w:hyperlink w:anchor="_Toc201671071" w:history="1">
            <w:r w:rsidRPr="00334DFF">
              <w:rPr>
                <w:rStyle w:val="Collegamentoipertestuale"/>
                <w:noProof/>
              </w:rPr>
              <w:t>5.6.1</w:t>
            </w:r>
            <w:r w:rsidRPr="00334DFF">
              <w:rPr>
                <w:rStyle w:val="Collegamentoipertestuale"/>
                <w:rFonts w:ascii="Garamond,Bold" w:hAnsi="Garamond,Bold" w:cs="Garamond,Bold"/>
                <w:noProof/>
              </w:rPr>
              <w:t xml:space="preserve"> </w:t>
            </w:r>
            <w:r w:rsidRPr="00334DFF">
              <w:rPr>
                <w:rStyle w:val="Collegamentoipertestuale"/>
                <w:noProof/>
              </w:rPr>
              <w:t>Dispute Resolution by the Advisory Commission</w:t>
            </w:r>
            <w:r>
              <w:rPr>
                <w:noProof/>
                <w:webHidden/>
              </w:rPr>
              <w:tab/>
            </w:r>
            <w:r>
              <w:rPr>
                <w:noProof/>
                <w:webHidden/>
              </w:rPr>
              <w:fldChar w:fldCharType="begin"/>
            </w:r>
            <w:r>
              <w:rPr>
                <w:noProof/>
                <w:webHidden/>
              </w:rPr>
              <w:instrText xml:space="preserve"> PAGEREF _Toc201671071 \h </w:instrText>
            </w:r>
            <w:r>
              <w:rPr>
                <w:noProof/>
                <w:webHidden/>
              </w:rPr>
            </w:r>
            <w:r>
              <w:rPr>
                <w:noProof/>
                <w:webHidden/>
              </w:rPr>
              <w:fldChar w:fldCharType="separate"/>
            </w:r>
            <w:r w:rsidR="003508AE">
              <w:rPr>
                <w:noProof/>
                <w:webHidden/>
              </w:rPr>
              <w:t>8</w:t>
            </w:r>
            <w:r>
              <w:rPr>
                <w:noProof/>
                <w:webHidden/>
              </w:rPr>
              <w:fldChar w:fldCharType="end"/>
            </w:r>
          </w:hyperlink>
        </w:p>
        <w:p w14:paraId="59794741" w14:textId="49AAA17F" w:rsidR="007D59B9" w:rsidRDefault="007D59B9">
          <w:pPr>
            <w:pStyle w:val="Sommario2"/>
            <w:rPr>
              <w:rFonts w:eastAsiaTheme="minorEastAsia" w:cstheme="minorBidi"/>
              <w:noProof/>
              <w:kern w:val="2"/>
              <w:sz w:val="24"/>
              <w:lang w:val="it-IT" w:eastAsia="it-IT"/>
              <w14:ligatures w14:val="standardContextual"/>
            </w:rPr>
          </w:pPr>
          <w:hyperlink w:anchor="_Toc201671072" w:history="1">
            <w:r w:rsidRPr="00334DFF">
              <w:rPr>
                <w:rStyle w:val="Collegamentoipertestuale"/>
                <w:b/>
                <w:bCs/>
                <w:noProof/>
              </w:rPr>
              <w:t>5.7 Commission for the Alternative Resolution of Disputes</w:t>
            </w:r>
            <w:r>
              <w:rPr>
                <w:noProof/>
                <w:webHidden/>
              </w:rPr>
              <w:tab/>
            </w:r>
            <w:r>
              <w:rPr>
                <w:noProof/>
                <w:webHidden/>
              </w:rPr>
              <w:fldChar w:fldCharType="begin"/>
            </w:r>
            <w:r>
              <w:rPr>
                <w:noProof/>
                <w:webHidden/>
              </w:rPr>
              <w:instrText xml:space="preserve"> PAGEREF _Toc201671072 \h </w:instrText>
            </w:r>
            <w:r>
              <w:rPr>
                <w:noProof/>
                <w:webHidden/>
              </w:rPr>
            </w:r>
            <w:r>
              <w:rPr>
                <w:noProof/>
                <w:webHidden/>
              </w:rPr>
              <w:fldChar w:fldCharType="separate"/>
            </w:r>
            <w:r w:rsidR="003508AE">
              <w:rPr>
                <w:noProof/>
                <w:webHidden/>
              </w:rPr>
              <w:t>8</w:t>
            </w:r>
            <w:r>
              <w:rPr>
                <w:noProof/>
                <w:webHidden/>
              </w:rPr>
              <w:fldChar w:fldCharType="end"/>
            </w:r>
          </w:hyperlink>
        </w:p>
        <w:p w14:paraId="1CAF7ABB" w14:textId="22BCEF11" w:rsidR="007D59B9" w:rsidRDefault="007D59B9">
          <w:pPr>
            <w:pStyle w:val="Sommario2"/>
            <w:rPr>
              <w:rFonts w:eastAsiaTheme="minorEastAsia" w:cstheme="minorBidi"/>
              <w:noProof/>
              <w:kern w:val="2"/>
              <w:sz w:val="24"/>
              <w:lang w:val="it-IT" w:eastAsia="it-IT"/>
              <w14:ligatures w14:val="standardContextual"/>
            </w:rPr>
          </w:pPr>
          <w:hyperlink w:anchor="_Toc201671073" w:history="1">
            <w:r w:rsidRPr="00334DFF">
              <w:rPr>
                <w:rStyle w:val="Collegamentoipertestuale"/>
                <w:b/>
                <w:bCs/>
                <w:noProof/>
              </w:rPr>
              <w:t>5.8 The Obligation to Achieve a Result</w:t>
            </w:r>
            <w:r>
              <w:rPr>
                <w:noProof/>
                <w:webHidden/>
              </w:rPr>
              <w:tab/>
            </w:r>
            <w:r>
              <w:rPr>
                <w:noProof/>
                <w:webHidden/>
              </w:rPr>
              <w:fldChar w:fldCharType="begin"/>
            </w:r>
            <w:r>
              <w:rPr>
                <w:noProof/>
                <w:webHidden/>
              </w:rPr>
              <w:instrText xml:space="preserve"> PAGEREF _Toc201671073 \h </w:instrText>
            </w:r>
            <w:r>
              <w:rPr>
                <w:noProof/>
                <w:webHidden/>
              </w:rPr>
            </w:r>
            <w:r>
              <w:rPr>
                <w:noProof/>
                <w:webHidden/>
              </w:rPr>
              <w:fldChar w:fldCharType="separate"/>
            </w:r>
            <w:r w:rsidR="003508AE">
              <w:rPr>
                <w:noProof/>
                <w:webHidden/>
              </w:rPr>
              <w:t>9</w:t>
            </w:r>
            <w:r>
              <w:rPr>
                <w:noProof/>
                <w:webHidden/>
              </w:rPr>
              <w:fldChar w:fldCharType="end"/>
            </w:r>
          </w:hyperlink>
        </w:p>
        <w:p w14:paraId="130423EA" w14:textId="4BEA87C1" w:rsidR="007D59B9" w:rsidRDefault="007D59B9">
          <w:pPr>
            <w:pStyle w:val="Sommario3"/>
            <w:rPr>
              <w:rFonts w:eastAsiaTheme="minorEastAsia" w:cstheme="minorBidi"/>
              <w:noProof/>
              <w:kern w:val="2"/>
              <w:sz w:val="24"/>
              <w:lang w:val="it-IT" w:eastAsia="it-IT"/>
              <w14:ligatures w14:val="standardContextual"/>
            </w:rPr>
          </w:pPr>
          <w:hyperlink w:anchor="_Toc201671074" w:history="1">
            <w:r w:rsidRPr="00334DFF">
              <w:rPr>
                <w:rStyle w:val="Collegamentoipertestuale"/>
                <w:noProof/>
              </w:rPr>
              <w:t>5.8.1 Implementing the Decisions</w:t>
            </w:r>
            <w:r>
              <w:rPr>
                <w:noProof/>
                <w:webHidden/>
              </w:rPr>
              <w:tab/>
            </w:r>
            <w:r>
              <w:rPr>
                <w:noProof/>
                <w:webHidden/>
              </w:rPr>
              <w:fldChar w:fldCharType="begin"/>
            </w:r>
            <w:r>
              <w:rPr>
                <w:noProof/>
                <w:webHidden/>
              </w:rPr>
              <w:instrText xml:space="preserve"> PAGEREF _Toc201671074 \h </w:instrText>
            </w:r>
            <w:r>
              <w:rPr>
                <w:noProof/>
                <w:webHidden/>
              </w:rPr>
            </w:r>
            <w:r>
              <w:rPr>
                <w:noProof/>
                <w:webHidden/>
              </w:rPr>
              <w:fldChar w:fldCharType="separate"/>
            </w:r>
            <w:r w:rsidR="003508AE">
              <w:rPr>
                <w:noProof/>
                <w:webHidden/>
              </w:rPr>
              <w:t>9</w:t>
            </w:r>
            <w:r>
              <w:rPr>
                <w:noProof/>
                <w:webHidden/>
              </w:rPr>
              <w:fldChar w:fldCharType="end"/>
            </w:r>
          </w:hyperlink>
        </w:p>
        <w:p w14:paraId="20E28287" w14:textId="284AFCB8" w:rsidR="007D59B9" w:rsidRDefault="007D59B9">
          <w:pPr>
            <w:pStyle w:val="Sommario2"/>
            <w:rPr>
              <w:rFonts w:eastAsiaTheme="minorEastAsia" w:cstheme="minorBidi"/>
              <w:noProof/>
              <w:kern w:val="2"/>
              <w:sz w:val="24"/>
              <w:lang w:val="it-IT" w:eastAsia="it-IT"/>
              <w14:ligatures w14:val="standardContextual"/>
            </w:rPr>
          </w:pPr>
          <w:hyperlink w:anchor="_Toc201671075" w:history="1">
            <w:r w:rsidRPr="00334DFF">
              <w:rPr>
                <w:rStyle w:val="Collegamentoipertestuale"/>
                <w:b/>
                <w:bCs/>
                <w:noProof/>
              </w:rPr>
              <w:t>5.9 Summary chart of the procedure</w:t>
            </w:r>
            <w:r>
              <w:rPr>
                <w:noProof/>
                <w:webHidden/>
              </w:rPr>
              <w:tab/>
            </w:r>
            <w:r>
              <w:rPr>
                <w:noProof/>
                <w:webHidden/>
              </w:rPr>
              <w:fldChar w:fldCharType="begin"/>
            </w:r>
            <w:r>
              <w:rPr>
                <w:noProof/>
                <w:webHidden/>
              </w:rPr>
              <w:instrText xml:space="preserve"> PAGEREF _Toc201671075 \h </w:instrText>
            </w:r>
            <w:r>
              <w:rPr>
                <w:noProof/>
                <w:webHidden/>
              </w:rPr>
            </w:r>
            <w:r>
              <w:rPr>
                <w:noProof/>
                <w:webHidden/>
              </w:rPr>
              <w:fldChar w:fldCharType="separate"/>
            </w:r>
            <w:r w:rsidR="003508AE">
              <w:rPr>
                <w:noProof/>
                <w:webHidden/>
              </w:rPr>
              <w:t>9</w:t>
            </w:r>
            <w:r>
              <w:rPr>
                <w:noProof/>
                <w:webHidden/>
              </w:rPr>
              <w:fldChar w:fldCharType="end"/>
            </w:r>
          </w:hyperlink>
        </w:p>
        <w:p w14:paraId="2CB64990" w14:textId="76552218"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76" w:history="1">
            <w:r w:rsidRPr="00334DFF">
              <w:rPr>
                <w:rStyle w:val="Collegamentoipertestuale"/>
                <w:b/>
                <w:noProof/>
                <w:lang w:val="en-US"/>
              </w:rPr>
              <w:t>6.</w:t>
            </w:r>
            <w:r>
              <w:rPr>
                <w:rFonts w:eastAsiaTheme="minorEastAsia" w:cstheme="minorBidi"/>
                <w:noProof/>
                <w:kern w:val="2"/>
                <w:sz w:val="24"/>
                <w:szCs w:val="24"/>
                <w:lang w:val="it-IT" w:eastAsia="it-IT"/>
                <w14:ligatures w14:val="standardContextual"/>
              </w:rPr>
              <w:tab/>
            </w:r>
            <w:r w:rsidRPr="00334DFF">
              <w:rPr>
                <w:rStyle w:val="Collegamentoipertestuale"/>
                <w:b/>
                <w:noProof/>
                <w:lang w:val="en-US"/>
              </w:rPr>
              <w:t>The question posed</w:t>
            </w:r>
            <w:r>
              <w:rPr>
                <w:noProof/>
                <w:webHidden/>
              </w:rPr>
              <w:tab/>
            </w:r>
            <w:r>
              <w:rPr>
                <w:noProof/>
                <w:webHidden/>
              </w:rPr>
              <w:fldChar w:fldCharType="begin"/>
            </w:r>
            <w:r>
              <w:rPr>
                <w:noProof/>
                <w:webHidden/>
              </w:rPr>
              <w:instrText xml:space="preserve"> PAGEREF _Toc201671076 \h </w:instrText>
            </w:r>
            <w:r>
              <w:rPr>
                <w:noProof/>
                <w:webHidden/>
              </w:rPr>
            </w:r>
            <w:r>
              <w:rPr>
                <w:noProof/>
                <w:webHidden/>
              </w:rPr>
              <w:fldChar w:fldCharType="separate"/>
            </w:r>
            <w:r w:rsidR="003508AE">
              <w:rPr>
                <w:noProof/>
                <w:webHidden/>
              </w:rPr>
              <w:t>10</w:t>
            </w:r>
            <w:r>
              <w:rPr>
                <w:noProof/>
                <w:webHidden/>
              </w:rPr>
              <w:fldChar w:fldCharType="end"/>
            </w:r>
          </w:hyperlink>
        </w:p>
        <w:p w14:paraId="6830EEF4" w14:textId="08D88C8D" w:rsidR="007D59B9" w:rsidRDefault="007D59B9">
          <w:pPr>
            <w:pStyle w:val="Sommario2"/>
            <w:tabs>
              <w:tab w:val="left" w:pos="720"/>
            </w:tabs>
            <w:rPr>
              <w:rFonts w:eastAsiaTheme="minorEastAsia" w:cstheme="minorBidi"/>
              <w:noProof/>
              <w:kern w:val="2"/>
              <w:sz w:val="24"/>
              <w:lang w:val="it-IT" w:eastAsia="it-IT"/>
              <w14:ligatures w14:val="standardContextual"/>
            </w:rPr>
          </w:pPr>
          <w:hyperlink w:anchor="_Toc201671077" w:history="1">
            <w:r w:rsidRPr="00334DFF">
              <w:rPr>
                <w:rStyle w:val="Collegamentoipertestuale"/>
                <w:b/>
                <w:bCs/>
                <w:noProof/>
                <w:lang w:val="en-US"/>
              </w:rPr>
              <w:t>6.1</w:t>
            </w:r>
            <w:r>
              <w:rPr>
                <w:rFonts w:eastAsiaTheme="minorEastAsia" w:cstheme="minorBidi"/>
                <w:noProof/>
                <w:kern w:val="2"/>
                <w:sz w:val="24"/>
                <w:lang w:val="it-IT" w:eastAsia="it-IT"/>
                <w14:ligatures w14:val="standardContextual"/>
              </w:rPr>
              <w:tab/>
            </w:r>
            <w:r w:rsidRPr="00334DFF">
              <w:rPr>
                <w:rStyle w:val="Collegamentoipertestuale"/>
                <w:b/>
                <w:bCs/>
                <w:noProof/>
                <w:lang w:val="en-US"/>
              </w:rPr>
              <w:t>Whether Vimercati and Vimercati EE are entitled to file the MAP request</w:t>
            </w:r>
            <w:r>
              <w:rPr>
                <w:noProof/>
                <w:webHidden/>
              </w:rPr>
              <w:tab/>
            </w:r>
            <w:r>
              <w:rPr>
                <w:noProof/>
                <w:webHidden/>
              </w:rPr>
              <w:fldChar w:fldCharType="begin"/>
            </w:r>
            <w:r>
              <w:rPr>
                <w:noProof/>
                <w:webHidden/>
              </w:rPr>
              <w:instrText xml:space="preserve"> PAGEREF _Toc201671077 \h </w:instrText>
            </w:r>
            <w:r>
              <w:rPr>
                <w:noProof/>
                <w:webHidden/>
              </w:rPr>
            </w:r>
            <w:r>
              <w:rPr>
                <w:noProof/>
                <w:webHidden/>
              </w:rPr>
              <w:fldChar w:fldCharType="separate"/>
            </w:r>
            <w:r w:rsidR="003508AE">
              <w:rPr>
                <w:noProof/>
                <w:webHidden/>
              </w:rPr>
              <w:t>10</w:t>
            </w:r>
            <w:r>
              <w:rPr>
                <w:noProof/>
                <w:webHidden/>
              </w:rPr>
              <w:fldChar w:fldCharType="end"/>
            </w:r>
          </w:hyperlink>
        </w:p>
        <w:p w14:paraId="384BF815" w14:textId="43C11860" w:rsidR="007D59B9" w:rsidRDefault="007D59B9">
          <w:pPr>
            <w:pStyle w:val="Sommario2"/>
            <w:rPr>
              <w:rFonts w:eastAsiaTheme="minorEastAsia" w:cstheme="minorBidi"/>
              <w:noProof/>
              <w:kern w:val="2"/>
              <w:sz w:val="24"/>
              <w:lang w:val="it-IT" w:eastAsia="it-IT"/>
              <w14:ligatures w14:val="standardContextual"/>
            </w:rPr>
          </w:pPr>
          <w:hyperlink w:anchor="_Toc201671078" w:history="1">
            <w:r w:rsidRPr="00334DFF">
              <w:rPr>
                <w:rStyle w:val="Collegamentoipertestuale"/>
                <w:b/>
                <w:bCs/>
                <w:noProof/>
                <w:lang w:val="en-US"/>
              </w:rPr>
              <w:t>6.2 whether the request can be refused by the Italian and/or Romanian competent authorities</w:t>
            </w:r>
            <w:r>
              <w:rPr>
                <w:noProof/>
                <w:webHidden/>
              </w:rPr>
              <w:tab/>
            </w:r>
            <w:r>
              <w:rPr>
                <w:noProof/>
                <w:webHidden/>
              </w:rPr>
              <w:fldChar w:fldCharType="begin"/>
            </w:r>
            <w:r>
              <w:rPr>
                <w:noProof/>
                <w:webHidden/>
              </w:rPr>
              <w:instrText xml:space="preserve"> PAGEREF _Toc201671078 \h </w:instrText>
            </w:r>
            <w:r>
              <w:rPr>
                <w:noProof/>
                <w:webHidden/>
              </w:rPr>
            </w:r>
            <w:r>
              <w:rPr>
                <w:noProof/>
                <w:webHidden/>
              </w:rPr>
              <w:fldChar w:fldCharType="separate"/>
            </w:r>
            <w:r w:rsidR="003508AE">
              <w:rPr>
                <w:noProof/>
                <w:webHidden/>
              </w:rPr>
              <w:t>10</w:t>
            </w:r>
            <w:r>
              <w:rPr>
                <w:noProof/>
                <w:webHidden/>
              </w:rPr>
              <w:fldChar w:fldCharType="end"/>
            </w:r>
          </w:hyperlink>
        </w:p>
        <w:p w14:paraId="5579179E" w14:textId="2AF50360" w:rsidR="007D59B9" w:rsidRDefault="007D59B9">
          <w:pPr>
            <w:pStyle w:val="Sommario3"/>
            <w:rPr>
              <w:rFonts w:eastAsiaTheme="minorEastAsia" w:cstheme="minorBidi"/>
              <w:noProof/>
              <w:kern w:val="2"/>
              <w:sz w:val="24"/>
              <w:lang w:val="it-IT" w:eastAsia="it-IT"/>
              <w14:ligatures w14:val="standardContextual"/>
            </w:rPr>
          </w:pPr>
          <w:hyperlink w:anchor="_Toc201671079" w:history="1">
            <w:r w:rsidRPr="00334DFF">
              <w:rPr>
                <w:rStyle w:val="Collegamentoipertestuale"/>
                <w:noProof/>
                <w:lang w:val="en-US"/>
              </w:rPr>
              <w:t>6.2.1 the complaint lacks information required under Article 3(3) (including any information requested under Article 3(3)(f) that was not submitted within the deadline specified in Article 3(4)).</w:t>
            </w:r>
            <w:r>
              <w:rPr>
                <w:noProof/>
                <w:webHidden/>
              </w:rPr>
              <w:tab/>
            </w:r>
            <w:r>
              <w:rPr>
                <w:noProof/>
                <w:webHidden/>
              </w:rPr>
              <w:fldChar w:fldCharType="begin"/>
            </w:r>
            <w:r>
              <w:rPr>
                <w:noProof/>
                <w:webHidden/>
              </w:rPr>
              <w:instrText xml:space="preserve"> PAGEREF _Toc201671079 \h </w:instrText>
            </w:r>
            <w:r>
              <w:rPr>
                <w:noProof/>
                <w:webHidden/>
              </w:rPr>
            </w:r>
            <w:r>
              <w:rPr>
                <w:noProof/>
                <w:webHidden/>
              </w:rPr>
              <w:fldChar w:fldCharType="separate"/>
            </w:r>
            <w:r w:rsidR="003508AE">
              <w:rPr>
                <w:noProof/>
                <w:webHidden/>
              </w:rPr>
              <w:t>11</w:t>
            </w:r>
            <w:r>
              <w:rPr>
                <w:noProof/>
                <w:webHidden/>
              </w:rPr>
              <w:fldChar w:fldCharType="end"/>
            </w:r>
          </w:hyperlink>
        </w:p>
        <w:p w14:paraId="218BE802" w14:textId="56388B6F" w:rsidR="007D59B9" w:rsidRDefault="007D59B9">
          <w:pPr>
            <w:pStyle w:val="Sommario3"/>
            <w:rPr>
              <w:rFonts w:eastAsiaTheme="minorEastAsia" w:cstheme="minorBidi"/>
              <w:noProof/>
              <w:kern w:val="2"/>
              <w:sz w:val="24"/>
              <w:lang w:val="it-IT" w:eastAsia="it-IT"/>
              <w14:ligatures w14:val="standardContextual"/>
            </w:rPr>
          </w:pPr>
          <w:hyperlink w:anchor="_Toc201671080" w:history="1">
            <w:r w:rsidRPr="00334DFF">
              <w:rPr>
                <w:rStyle w:val="Collegamentoipertestuale"/>
                <w:noProof/>
                <w:lang w:val="en-US"/>
              </w:rPr>
              <w:t>6.2.2 there is no question in dispute</w:t>
            </w:r>
            <w:r>
              <w:rPr>
                <w:noProof/>
                <w:webHidden/>
              </w:rPr>
              <w:tab/>
            </w:r>
            <w:r>
              <w:rPr>
                <w:noProof/>
                <w:webHidden/>
              </w:rPr>
              <w:fldChar w:fldCharType="begin"/>
            </w:r>
            <w:r>
              <w:rPr>
                <w:noProof/>
                <w:webHidden/>
              </w:rPr>
              <w:instrText xml:space="preserve"> PAGEREF _Toc201671080 \h </w:instrText>
            </w:r>
            <w:r>
              <w:rPr>
                <w:noProof/>
                <w:webHidden/>
              </w:rPr>
            </w:r>
            <w:r>
              <w:rPr>
                <w:noProof/>
                <w:webHidden/>
              </w:rPr>
              <w:fldChar w:fldCharType="separate"/>
            </w:r>
            <w:r w:rsidR="003508AE">
              <w:rPr>
                <w:noProof/>
                <w:webHidden/>
              </w:rPr>
              <w:t>11</w:t>
            </w:r>
            <w:r>
              <w:rPr>
                <w:noProof/>
                <w:webHidden/>
              </w:rPr>
              <w:fldChar w:fldCharType="end"/>
            </w:r>
          </w:hyperlink>
        </w:p>
        <w:p w14:paraId="0F5065E1" w14:textId="79F91A27" w:rsidR="007D59B9" w:rsidRDefault="007D59B9">
          <w:pPr>
            <w:pStyle w:val="Sommario3"/>
            <w:rPr>
              <w:rFonts w:eastAsiaTheme="minorEastAsia" w:cstheme="minorBidi"/>
              <w:noProof/>
              <w:kern w:val="2"/>
              <w:sz w:val="24"/>
              <w:lang w:val="it-IT" w:eastAsia="it-IT"/>
              <w14:ligatures w14:val="standardContextual"/>
            </w:rPr>
          </w:pPr>
          <w:hyperlink w:anchor="_Toc201671081" w:history="1">
            <w:r w:rsidRPr="00334DFF">
              <w:rPr>
                <w:rStyle w:val="Collegamentoipertestuale"/>
                <w:noProof/>
                <w:lang w:val="en-US"/>
              </w:rPr>
              <w:t>6.2.3 the complaint was not submitted within the 3-year period set out in Article 3(1)</w:t>
            </w:r>
            <w:r>
              <w:rPr>
                <w:noProof/>
                <w:webHidden/>
              </w:rPr>
              <w:tab/>
            </w:r>
            <w:r>
              <w:rPr>
                <w:noProof/>
                <w:webHidden/>
              </w:rPr>
              <w:fldChar w:fldCharType="begin"/>
            </w:r>
            <w:r>
              <w:rPr>
                <w:noProof/>
                <w:webHidden/>
              </w:rPr>
              <w:instrText xml:space="preserve"> PAGEREF _Toc201671081 \h </w:instrText>
            </w:r>
            <w:r>
              <w:rPr>
                <w:noProof/>
                <w:webHidden/>
              </w:rPr>
            </w:r>
            <w:r>
              <w:rPr>
                <w:noProof/>
                <w:webHidden/>
              </w:rPr>
              <w:fldChar w:fldCharType="separate"/>
            </w:r>
            <w:r w:rsidR="003508AE">
              <w:rPr>
                <w:noProof/>
                <w:webHidden/>
              </w:rPr>
              <w:t>11</w:t>
            </w:r>
            <w:r>
              <w:rPr>
                <w:noProof/>
                <w:webHidden/>
              </w:rPr>
              <w:fldChar w:fldCharType="end"/>
            </w:r>
          </w:hyperlink>
        </w:p>
        <w:p w14:paraId="1A61115A" w14:textId="4EAB7D31" w:rsidR="007D59B9" w:rsidRDefault="007D59B9">
          <w:pPr>
            <w:pStyle w:val="Sommario2"/>
            <w:rPr>
              <w:rFonts w:eastAsiaTheme="minorEastAsia" w:cstheme="minorBidi"/>
              <w:noProof/>
              <w:kern w:val="2"/>
              <w:sz w:val="24"/>
              <w:lang w:val="it-IT" w:eastAsia="it-IT"/>
              <w14:ligatures w14:val="standardContextual"/>
            </w:rPr>
          </w:pPr>
          <w:hyperlink w:anchor="_Toc201671082" w:history="1">
            <w:r w:rsidRPr="00334DFF">
              <w:rPr>
                <w:rStyle w:val="Collegamentoipertestuale"/>
                <w:b/>
                <w:bCs/>
                <w:noProof/>
                <w:lang w:val="en-US"/>
              </w:rPr>
              <w:t>6.3 whether the CAs are obliged to reach an agreement, thus eliminating double taxation.</w:t>
            </w:r>
            <w:r>
              <w:rPr>
                <w:noProof/>
                <w:webHidden/>
              </w:rPr>
              <w:tab/>
            </w:r>
            <w:r>
              <w:rPr>
                <w:noProof/>
                <w:webHidden/>
              </w:rPr>
              <w:fldChar w:fldCharType="begin"/>
            </w:r>
            <w:r>
              <w:rPr>
                <w:noProof/>
                <w:webHidden/>
              </w:rPr>
              <w:instrText xml:space="preserve"> PAGEREF _Toc201671082 \h </w:instrText>
            </w:r>
            <w:r>
              <w:rPr>
                <w:noProof/>
                <w:webHidden/>
              </w:rPr>
            </w:r>
            <w:r>
              <w:rPr>
                <w:noProof/>
                <w:webHidden/>
              </w:rPr>
              <w:fldChar w:fldCharType="separate"/>
            </w:r>
            <w:r w:rsidR="003508AE">
              <w:rPr>
                <w:noProof/>
                <w:webHidden/>
              </w:rPr>
              <w:t>11</w:t>
            </w:r>
            <w:r>
              <w:rPr>
                <w:noProof/>
                <w:webHidden/>
              </w:rPr>
              <w:fldChar w:fldCharType="end"/>
            </w:r>
          </w:hyperlink>
        </w:p>
        <w:p w14:paraId="18E36E68" w14:textId="132DFD13" w:rsidR="007D59B9" w:rsidRDefault="007D59B9">
          <w:pPr>
            <w:pStyle w:val="Sommario1"/>
            <w:tabs>
              <w:tab w:val="left" w:pos="403"/>
            </w:tabs>
            <w:rPr>
              <w:rFonts w:eastAsiaTheme="minorEastAsia" w:cstheme="minorBidi"/>
              <w:noProof/>
              <w:kern w:val="2"/>
              <w:sz w:val="24"/>
              <w:szCs w:val="24"/>
              <w:lang w:val="it-IT" w:eastAsia="it-IT"/>
              <w14:ligatures w14:val="standardContextual"/>
            </w:rPr>
          </w:pPr>
          <w:hyperlink w:anchor="_Toc201671083" w:history="1">
            <w:r w:rsidRPr="00334DFF">
              <w:rPr>
                <w:rStyle w:val="Collegamentoipertestuale"/>
                <w:b/>
                <w:noProof/>
                <w:lang w:val="en-US"/>
              </w:rPr>
              <w:t>7.</w:t>
            </w:r>
            <w:r>
              <w:rPr>
                <w:rFonts w:eastAsiaTheme="minorEastAsia" w:cstheme="minorBidi"/>
                <w:noProof/>
                <w:kern w:val="2"/>
                <w:sz w:val="24"/>
                <w:szCs w:val="24"/>
                <w:lang w:val="it-IT" w:eastAsia="it-IT"/>
                <w14:ligatures w14:val="standardContextual"/>
              </w:rPr>
              <w:tab/>
            </w:r>
            <w:r w:rsidRPr="00334DFF">
              <w:rPr>
                <w:rStyle w:val="Collegamentoipertestuale"/>
                <w:b/>
                <w:noProof/>
                <w:lang w:val="en-US"/>
              </w:rPr>
              <w:t>Conclusions</w:t>
            </w:r>
            <w:r>
              <w:rPr>
                <w:noProof/>
                <w:webHidden/>
              </w:rPr>
              <w:tab/>
            </w:r>
            <w:r>
              <w:rPr>
                <w:noProof/>
                <w:webHidden/>
              </w:rPr>
              <w:fldChar w:fldCharType="begin"/>
            </w:r>
            <w:r>
              <w:rPr>
                <w:noProof/>
                <w:webHidden/>
              </w:rPr>
              <w:instrText xml:space="preserve"> PAGEREF _Toc201671083 \h </w:instrText>
            </w:r>
            <w:r>
              <w:rPr>
                <w:noProof/>
                <w:webHidden/>
              </w:rPr>
            </w:r>
            <w:r>
              <w:rPr>
                <w:noProof/>
                <w:webHidden/>
              </w:rPr>
              <w:fldChar w:fldCharType="separate"/>
            </w:r>
            <w:r w:rsidR="003508AE">
              <w:rPr>
                <w:noProof/>
                <w:webHidden/>
              </w:rPr>
              <w:t>12</w:t>
            </w:r>
            <w:r>
              <w:rPr>
                <w:noProof/>
                <w:webHidden/>
              </w:rPr>
              <w:fldChar w:fldCharType="end"/>
            </w:r>
          </w:hyperlink>
        </w:p>
        <w:p w14:paraId="4A6360D7" w14:textId="680F54E9" w:rsidR="00705859" w:rsidRPr="00163048" w:rsidRDefault="00705859" w:rsidP="000A5B0C">
          <w:pPr>
            <w:jc w:val="both"/>
          </w:pPr>
          <w:r>
            <w:rPr>
              <w:b/>
              <w:bCs/>
            </w:rPr>
            <w:fldChar w:fldCharType="end"/>
          </w:r>
        </w:p>
      </w:sdtContent>
    </w:sdt>
    <w:p w14:paraId="15ABA925" w14:textId="33DAF02B" w:rsidR="004E25ED" w:rsidRPr="00BA7312" w:rsidRDefault="0029488C" w:rsidP="000A5B0C">
      <w:pPr>
        <w:pStyle w:val="Titolo1"/>
        <w:jc w:val="both"/>
        <w:rPr>
          <w:b/>
          <w:bCs w:val="0"/>
          <w:lang w:val="en-US"/>
        </w:rPr>
      </w:pPr>
      <w:bookmarkStart w:id="0" w:name="_Toc201335612"/>
      <w:bookmarkStart w:id="1" w:name="_Toc201671050"/>
      <w:r w:rsidRPr="00BA7312">
        <w:rPr>
          <w:b/>
          <w:lang w:val="en-US"/>
        </w:rPr>
        <w:t>Scope of work</w:t>
      </w:r>
      <w:bookmarkEnd w:id="0"/>
      <w:bookmarkEnd w:id="1"/>
    </w:p>
    <w:p w14:paraId="15ED224A" w14:textId="199F0021" w:rsidR="004E25ED" w:rsidRDefault="00C9452F" w:rsidP="000A5B0C">
      <w:pPr>
        <w:jc w:val="both"/>
        <w:rPr>
          <w:lang w:val="en-US"/>
        </w:rPr>
      </w:pPr>
      <w:r w:rsidRPr="00C9452F">
        <w:rPr>
          <w:lang w:val="en-US"/>
        </w:rPr>
        <w:t>We have been asked to provide an in-depth analysis of the legal framework of the mutual agreement procedure to be filed according to the EU directive 2017/1852.</w:t>
      </w:r>
    </w:p>
    <w:p w14:paraId="0481F138" w14:textId="77777777" w:rsidR="006D4F1A" w:rsidRPr="00C9452F" w:rsidRDefault="006D4F1A" w:rsidP="000A5B0C">
      <w:pPr>
        <w:jc w:val="both"/>
        <w:rPr>
          <w:lang w:val="en-US"/>
        </w:rPr>
      </w:pPr>
    </w:p>
    <w:p w14:paraId="24ED55E3" w14:textId="6B6163E8" w:rsidR="004E25ED" w:rsidRPr="007949E3" w:rsidRDefault="007949E3" w:rsidP="000A5B0C">
      <w:pPr>
        <w:pStyle w:val="Paragrafoelenco"/>
        <w:numPr>
          <w:ilvl w:val="0"/>
          <w:numId w:val="29"/>
        </w:numPr>
        <w:jc w:val="both"/>
        <w:outlineLvl w:val="0"/>
        <w:rPr>
          <w:rFonts w:asciiTheme="majorHAnsi" w:hAnsiTheme="majorHAnsi" w:cstheme="majorHAnsi"/>
          <w:b/>
          <w:color w:val="4F2D7F" w:themeColor="accent1"/>
          <w:kern w:val="32"/>
          <w:sz w:val="36"/>
          <w:szCs w:val="28"/>
          <w:lang w:val="it-IT"/>
        </w:rPr>
      </w:pPr>
      <w:bookmarkStart w:id="2" w:name="_Toc201335613"/>
      <w:bookmarkStart w:id="3" w:name="_Toc201671051"/>
      <w:r w:rsidRPr="007949E3">
        <w:rPr>
          <w:rFonts w:asciiTheme="majorHAnsi" w:hAnsiTheme="majorHAnsi" w:cstheme="majorHAnsi"/>
          <w:b/>
          <w:color w:val="4F2D7F" w:themeColor="accent1"/>
          <w:kern w:val="32"/>
          <w:sz w:val="36"/>
          <w:szCs w:val="28"/>
          <w:lang w:val="it-IT"/>
        </w:rPr>
        <w:t>The outlined case</w:t>
      </w:r>
      <w:bookmarkEnd w:id="2"/>
      <w:bookmarkEnd w:id="3"/>
    </w:p>
    <w:p w14:paraId="00D1CBA7" w14:textId="080FAC8A" w:rsidR="0064288D" w:rsidRPr="0064288D" w:rsidRDefault="0064288D" w:rsidP="000A5B0C">
      <w:pPr>
        <w:jc w:val="both"/>
        <w:rPr>
          <w:lang w:val="it-IT"/>
        </w:rPr>
      </w:pPr>
      <w:r w:rsidRPr="00242F9C">
        <w:rPr>
          <w:b/>
          <w:bCs/>
          <w:lang w:val="en-US"/>
        </w:rPr>
        <w:t>Vimercati S.p.A.</w:t>
      </w:r>
      <w:r w:rsidRPr="0064288D">
        <w:rPr>
          <w:lang w:val="en-US"/>
        </w:rPr>
        <w:t xml:space="preserve"> (hereafter “</w:t>
      </w:r>
      <w:r w:rsidRPr="00242F9C">
        <w:rPr>
          <w:b/>
          <w:bCs/>
          <w:i/>
          <w:iCs/>
          <w:lang w:val="en-US"/>
        </w:rPr>
        <w:t>Vimercati</w:t>
      </w:r>
      <w:r w:rsidRPr="0064288D">
        <w:rPr>
          <w:lang w:val="en-US"/>
        </w:rPr>
        <w:t xml:space="preserve">”), a company incorporated in Italy, is part of the Viney group, an Indian multinational group. </w:t>
      </w:r>
      <w:r w:rsidRPr="0064288D">
        <w:rPr>
          <w:lang w:val="it-IT"/>
        </w:rPr>
        <w:t xml:space="preserve">Vimercati controls </w:t>
      </w:r>
      <w:r w:rsidRPr="00242F9C">
        <w:rPr>
          <w:b/>
          <w:bCs/>
          <w:lang w:val="it-IT"/>
        </w:rPr>
        <w:t>Vimercati East Europe</w:t>
      </w:r>
      <w:r w:rsidRPr="0064288D">
        <w:rPr>
          <w:lang w:val="it-IT"/>
        </w:rPr>
        <w:t xml:space="preserve"> (hereafter “</w:t>
      </w:r>
      <w:r w:rsidRPr="00242F9C">
        <w:rPr>
          <w:b/>
          <w:bCs/>
          <w:i/>
          <w:iCs/>
          <w:lang w:val="it-IT"/>
        </w:rPr>
        <w:t>Vimercati EE</w:t>
      </w:r>
      <w:r w:rsidRPr="0064288D">
        <w:rPr>
          <w:lang w:val="it-IT"/>
        </w:rPr>
        <w:t>”), a company incorporated in Romania.</w:t>
      </w:r>
    </w:p>
    <w:p w14:paraId="0B7E73E7" w14:textId="77777777" w:rsidR="0064288D" w:rsidRPr="0064288D" w:rsidRDefault="0064288D" w:rsidP="000A5B0C">
      <w:pPr>
        <w:jc w:val="both"/>
        <w:rPr>
          <w:lang w:val="en-US"/>
        </w:rPr>
      </w:pPr>
      <w:r w:rsidRPr="0064288D">
        <w:rPr>
          <w:lang w:val="en-US"/>
        </w:rPr>
        <w:t>Vimercati and Vimercati EE are part of significant intercompany transactions.</w:t>
      </w:r>
    </w:p>
    <w:p w14:paraId="35CCC681" w14:textId="77777777" w:rsidR="00B42D3E" w:rsidRDefault="0064288D" w:rsidP="000A5B0C">
      <w:pPr>
        <w:jc w:val="both"/>
        <w:rPr>
          <w:lang w:val="en-US"/>
        </w:rPr>
      </w:pPr>
      <w:r w:rsidRPr="0064288D">
        <w:rPr>
          <w:lang w:val="en-US"/>
        </w:rPr>
        <w:t xml:space="preserve">On 13th March 2024 the Italian tax authority started the audit of the financial years 2018 (1st January – 31st December 2018) and 2019 (1st January 2019 – 31st March 2020) of Vimercati. </w:t>
      </w:r>
    </w:p>
    <w:p w14:paraId="0D311B2C" w14:textId="0BE81643" w:rsidR="0064288D" w:rsidRPr="0064288D" w:rsidRDefault="0064288D" w:rsidP="000A5B0C">
      <w:pPr>
        <w:jc w:val="both"/>
        <w:rPr>
          <w:lang w:val="en-US"/>
        </w:rPr>
      </w:pPr>
      <w:r w:rsidRPr="0064288D">
        <w:rPr>
          <w:lang w:val="en-US"/>
        </w:rPr>
        <w:t>At the end of the audit, on 18th June 2024</w:t>
      </w:r>
      <w:r w:rsidR="00B42D3E">
        <w:rPr>
          <w:lang w:val="en-US"/>
        </w:rPr>
        <w:t>,</w:t>
      </w:r>
      <w:r w:rsidRPr="0064288D">
        <w:rPr>
          <w:lang w:val="en-US"/>
        </w:rPr>
        <w:t xml:space="preserve"> a tax audit report (“</w:t>
      </w:r>
      <w:r w:rsidRPr="00A717B6">
        <w:rPr>
          <w:i/>
          <w:iCs/>
          <w:lang w:val="en-US"/>
        </w:rPr>
        <w:t>processo verbale di constatazione</w:t>
      </w:r>
      <w:r w:rsidRPr="0064288D">
        <w:rPr>
          <w:lang w:val="en-US"/>
        </w:rPr>
        <w:t>”) was issued. Tax auditors challenged the intercompany transactions between Vimercati and Vimercati EE by assessing a significant increase of the taxable income at the level of Vimercati and by disregarding the reliability of the transfer pricing documentation, thus disregarding the penalty protection.</w:t>
      </w:r>
    </w:p>
    <w:p w14:paraId="2FEC1315" w14:textId="77777777" w:rsidR="0064288D" w:rsidRPr="0064288D" w:rsidRDefault="0064288D" w:rsidP="000A5B0C">
      <w:pPr>
        <w:jc w:val="both"/>
        <w:rPr>
          <w:lang w:val="en-US"/>
        </w:rPr>
      </w:pPr>
      <w:r w:rsidRPr="0064288D">
        <w:rPr>
          <w:lang w:val="en-US"/>
        </w:rPr>
        <w:t>On 17th July 2024 Vimercati filed a request for settlement (“</w:t>
      </w:r>
      <w:r w:rsidRPr="00E3167C">
        <w:rPr>
          <w:i/>
          <w:iCs/>
          <w:lang w:val="en-US"/>
        </w:rPr>
        <w:t>istanza di accertamento con adesione</w:t>
      </w:r>
      <w:r w:rsidRPr="0064288D">
        <w:rPr>
          <w:lang w:val="en-US"/>
        </w:rPr>
        <w:t xml:space="preserve">”). </w:t>
      </w:r>
    </w:p>
    <w:p w14:paraId="0EA4CF48" w14:textId="077D927D" w:rsidR="0064288D" w:rsidRPr="0064288D" w:rsidRDefault="0064288D" w:rsidP="000A5B0C">
      <w:pPr>
        <w:jc w:val="both"/>
        <w:rPr>
          <w:lang w:val="en-US"/>
        </w:rPr>
      </w:pPr>
      <w:r w:rsidRPr="0064288D">
        <w:rPr>
          <w:lang w:val="en-US"/>
        </w:rPr>
        <w:t xml:space="preserve">On 12th December 2024 the tax authority notified to </w:t>
      </w:r>
      <w:r w:rsidR="006D4F1A">
        <w:rPr>
          <w:lang w:val="en-US"/>
        </w:rPr>
        <w:t>Vimercati</w:t>
      </w:r>
      <w:r w:rsidRPr="0064288D">
        <w:rPr>
          <w:lang w:val="en-US"/>
        </w:rPr>
        <w:t xml:space="preserve"> the call for the starting of the settlement procedure (“</w:t>
      </w:r>
      <w:r w:rsidRPr="00A43890">
        <w:rPr>
          <w:i/>
          <w:iCs/>
          <w:lang w:val="en-US"/>
        </w:rPr>
        <w:t>invito a comparire</w:t>
      </w:r>
      <w:r w:rsidRPr="0064288D">
        <w:rPr>
          <w:lang w:val="en-US"/>
        </w:rPr>
        <w:t xml:space="preserve">”). After few meetings with the tax authority and </w:t>
      </w:r>
      <w:r w:rsidR="000C58E0">
        <w:rPr>
          <w:lang w:val="en-US"/>
        </w:rPr>
        <w:t xml:space="preserve">following </w:t>
      </w:r>
      <w:r w:rsidRPr="0064288D">
        <w:rPr>
          <w:lang w:val="en-US"/>
        </w:rPr>
        <w:t xml:space="preserve">the filing of a position paper, on 13th March 2025 Vimercati and the </w:t>
      </w:r>
      <w:r w:rsidR="000C58E0">
        <w:rPr>
          <w:lang w:val="en-US"/>
        </w:rPr>
        <w:t xml:space="preserve">Italian </w:t>
      </w:r>
      <w:r w:rsidRPr="0064288D">
        <w:rPr>
          <w:lang w:val="en-US"/>
        </w:rPr>
        <w:t>tax authority signed the settlement agreement (“</w:t>
      </w:r>
      <w:r w:rsidRPr="000C58E0">
        <w:rPr>
          <w:i/>
          <w:iCs/>
          <w:lang w:val="en-US"/>
        </w:rPr>
        <w:t>atto di accertamento con adesione</w:t>
      </w:r>
      <w:r w:rsidRPr="0064288D">
        <w:rPr>
          <w:lang w:val="en-US"/>
        </w:rPr>
        <w:t>”) that, among others, implied a significant reduction in the assessed taxable income and the recognition of the reliability of the transfer pricing documentation and, consequently, the penalty protection.</w:t>
      </w:r>
    </w:p>
    <w:p w14:paraId="106E2D8C" w14:textId="700EB675" w:rsidR="004E25ED" w:rsidRPr="00AC2F30" w:rsidRDefault="0064288D" w:rsidP="000A5B0C">
      <w:pPr>
        <w:jc w:val="both"/>
        <w:rPr>
          <w:lang w:val="en-US"/>
        </w:rPr>
      </w:pPr>
      <w:r w:rsidRPr="0064288D">
        <w:rPr>
          <w:lang w:val="en-US"/>
        </w:rPr>
        <w:t>.</w:t>
      </w:r>
    </w:p>
    <w:p w14:paraId="59DDBD16" w14:textId="7896428B" w:rsidR="000C1738" w:rsidRPr="00AC2F30" w:rsidRDefault="00AC2F30" w:rsidP="000A5B0C">
      <w:pPr>
        <w:pStyle w:val="Titolo1"/>
        <w:numPr>
          <w:ilvl w:val="0"/>
          <w:numId w:val="29"/>
        </w:numPr>
        <w:jc w:val="both"/>
        <w:rPr>
          <w:b/>
          <w:bCs w:val="0"/>
          <w:lang w:val="en-US"/>
        </w:rPr>
      </w:pPr>
      <w:bookmarkStart w:id="4" w:name="_Toc201335614"/>
      <w:bookmarkStart w:id="5" w:name="_Toc201671052"/>
      <w:r w:rsidRPr="00AC2F30">
        <w:rPr>
          <w:b/>
          <w:bCs w:val="0"/>
          <w:lang w:val="en-US"/>
        </w:rPr>
        <w:t>Subject of this opinion and executive summary</w:t>
      </w:r>
      <w:bookmarkEnd w:id="4"/>
      <w:bookmarkEnd w:id="5"/>
    </w:p>
    <w:p w14:paraId="642A6FEE" w14:textId="4DA538BB" w:rsidR="0015746B" w:rsidRDefault="0015746B" w:rsidP="006D4F1A">
      <w:pPr>
        <w:pStyle w:val="Titolo2"/>
        <w:numPr>
          <w:ilvl w:val="1"/>
          <w:numId w:val="29"/>
        </w:numPr>
        <w:jc w:val="both"/>
        <w:rPr>
          <w:b/>
          <w:bCs/>
          <w:lang w:val="en-US"/>
        </w:rPr>
      </w:pPr>
      <w:bookmarkStart w:id="6" w:name="_Toc201335615"/>
      <w:bookmarkStart w:id="7" w:name="_Toc201671053"/>
      <w:r w:rsidRPr="00BA7312">
        <w:rPr>
          <w:b/>
          <w:bCs/>
          <w:lang w:val="en-US"/>
        </w:rPr>
        <w:t>Subject of this opinion</w:t>
      </w:r>
      <w:bookmarkEnd w:id="6"/>
      <w:bookmarkEnd w:id="7"/>
    </w:p>
    <w:p w14:paraId="3B4B2A5E" w14:textId="20884C91" w:rsidR="006D4F1A" w:rsidRPr="006D4F1A" w:rsidRDefault="006D4F1A" w:rsidP="006D4F1A">
      <w:pPr>
        <w:pStyle w:val="Corpotesto"/>
        <w:rPr>
          <w:lang w:val="en-US"/>
        </w:rPr>
      </w:pPr>
      <w:r w:rsidRPr="006D4F1A">
        <w:rPr>
          <w:lang w:val="en-US"/>
        </w:rPr>
        <w:t>Vimercati and Vimercati EE intend, now, to file the request for the mutual agreement procedure according to the EU directive 2017/1852 (hereafter “MAP”) to remove the double taxation that the tax audit findings and the settlement procedure have caused</w:t>
      </w:r>
    </w:p>
    <w:p w14:paraId="4D81FC2E" w14:textId="1D33E2AF" w:rsidR="00492223" w:rsidRDefault="006D4F1A" w:rsidP="000A5B0C">
      <w:pPr>
        <w:jc w:val="both"/>
        <w:rPr>
          <w:lang w:val="en-US"/>
        </w:rPr>
      </w:pPr>
      <w:r>
        <w:rPr>
          <w:lang w:val="en-US"/>
        </w:rPr>
        <w:t>In relation with this, w</w:t>
      </w:r>
      <w:r w:rsidR="0015746B" w:rsidRPr="0015746B">
        <w:rPr>
          <w:lang w:val="en-US"/>
        </w:rPr>
        <w:t xml:space="preserve">e have been asked to provide an in-depth analysis of the legal framework of the mutual agreement procedure to be filed according to the EU directive 2017/1852. In particular, </w:t>
      </w:r>
      <w:r w:rsidR="00341A74">
        <w:rPr>
          <w:lang w:val="en-US"/>
        </w:rPr>
        <w:t>we</w:t>
      </w:r>
      <w:r w:rsidR="0015746B" w:rsidRPr="0015746B">
        <w:rPr>
          <w:lang w:val="en-US"/>
        </w:rPr>
        <w:t xml:space="preserve"> have been asked to indicate</w:t>
      </w:r>
      <w:r w:rsidR="00492223">
        <w:rPr>
          <w:lang w:val="en-US"/>
        </w:rPr>
        <w:t xml:space="preserve"> </w:t>
      </w:r>
      <w:r w:rsidR="00492223" w:rsidRPr="00492223">
        <w:rPr>
          <w:lang w:val="en-US"/>
        </w:rPr>
        <w:t>whether</w:t>
      </w:r>
      <w:r w:rsidR="00492223">
        <w:rPr>
          <w:lang w:val="en-US"/>
        </w:rPr>
        <w:t>:</w:t>
      </w:r>
    </w:p>
    <w:p w14:paraId="7D431F65" w14:textId="201E8C64" w:rsidR="00492223" w:rsidRPr="00492223" w:rsidRDefault="0015746B" w:rsidP="00492223">
      <w:pPr>
        <w:pStyle w:val="Paragrafoelenco"/>
        <w:numPr>
          <w:ilvl w:val="0"/>
          <w:numId w:val="36"/>
        </w:numPr>
        <w:jc w:val="both"/>
        <w:rPr>
          <w:lang w:val="en-US"/>
        </w:rPr>
      </w:pPr>
      <w:r w:rsidRPr="00492223">
        <w:rPr>
          <w:lang w:val="en-US"/>
        </w:rPr>
        <w:t>Vimercati and Vimercati EE are entitled to file the MAP request</w:t>
      </w:r>
      <w:r w:rsidR="00492223" w:rsidRPr="00492223">
        <w:rPr>
          <w:lang w:val="en-US"/>
        </w:rPr>
        <w:t>;</w:t>
      </w:r>
    </w:p>
    <w:p w14:paraId="43E2BE39" w14:textId="75491173" w:rsidR="00492223" w:rsidRDefault="0015746B" w:rsidP="00492223">
      <w:pPr>
        <w:pStyle w:val="Paragrafoelenco"/>
        <w:numPr>
          <w:ilvl w:val="0"/>
          <w:numId w:val="36"/>
        </w:numPr>
        <w:jc w:val="both"/>
        <w:rPr>
          <w:lang w:val="en-US"/>
        </w:rPr>
      </w:pPr>
      <w:r w:rsidRPr="00492223">
        <w:rPr>
          <w:lang w:val="en-US"/>
        </w:rPr>
        <w:t xml:space="preserve">the request can be refused by the Italian and/or </w:t>
      </w:r>
      <w:r w:rsidR="006D4F1A">
        <w:rPr>
          <w:lang w:val="en-US"/>
        </w:rPr>
        <w:t xml:space="preserve">the </w:t>
      </w:r>
      <w:r w:rsidRPr="00492223">
        <w:rPr>
          <w:lang w:val="en-US"/>
        </w:rPr>
        <w:t>Romanian competent authorities (hereafter, “</w:t>
      </w:r>
      <w:r w:rsidRPr="00492223">
        <w:rPr>
          <w:i/>
          <w:iCs/>
          <w:lang w:val="en-US"/>
        </w:rPr>
        <w:t>CA</w:t>
      </w:r>
      <w:r w:rsidRPr="00492223">
        <w:rPr>
          <w:lang w:val="en-US"/>
        </w:rPr>
        <w:t>” or “</w:t>
      </w:r>
      <w:r w:rsidRPr="00492223">
        <w:rPr>
          <w:i/>
          <w:iCs/>
          <w:lang w:val="en-US"/>
        </w:rPr>
        <w:t>CAs</w:t>
      </w:r>
      <w:r w:rsidRPr="00492223">
        <w:rPr>
          <w:lang w:val="en-US"/>
        </w:rPr>
        <w:t xml:space="preserve">”) and </w:t>
      </w:r>
    </w:p>
    <w:p w14:paraId="4B14DE0B" w14:textId="152B3F2E" w:rsidR="0015746B" w:rsidRPr="00492223" w:rsidRDefault="0015746B" w:rsidP="00492223">
      <w:pPr>
        <w:pStyle w:val="Paragrafoelenco"/>
        <w:numPr>
          <w:ilvl w:val="0"/>
          <w:numId w:val="36"/>
        </w:numPr>
        <w:jc w:val="both"/>
        <w:rPr>
          <w:lang w:val="en-US"/>
        </w:rPr>
      </w:pPr>
      <w:r w:rsidRPr="00492223">
        <w:rPr>
          <w:lang w:val="en-US"/>
        </w:rPr>
        <w:t xml:space="preserve">the CAs are obliged to reach an agreement, thus eliminating </w:t>
      </w:r>
      <w:r w:rsidR="00731E21" w:rsidRPr="00492223">
        <w:rPr>
          <w:lang w:val="en-US"/>
        </w:rPr>
        <w:t>double</w:t>
      </w:r>
      <w:r w:rsidRPr="00492223">
        <w:rPr>
          <w:lang w:val="en-US"/>
        </w:rPr>
        <w:t xml:space="preserve"> taxation.</w:t>
      </w:r>
    </w:p>
    <w:p w14:paraId="50A9C0E4" w14:textId="6BAD44E6" w:rsidR="00767171" w:rsidRPr="00131A91" w:rsidRDefault="00DF6AED" w:rsidP="000A5B0C">
      <w:pPr>
        <w:pStyle w:val="Titolo2"/>
        <w:jc w:val="both"/>
        <w:rPr>
          <w:b/>
          <w:bCs/>
          <w:lang w:val="en-US"/>
        </w:rPr>
      </w:pPr>
      <w:bookmarkStart w:id="8" w:name="_Toc201335616"/>
      <w:bookmarkStart w:id="9" w:name="_Toc201671054"/>
      <w:r w:rsidRPr="00131A91">
        <w:rPr>
          <w:b/>
          <w:bCs/>
          <w:lang w:val="en-US"/>
        </w:rPr>
        <w:t>2</w:t>
      </w:r>
      <w:r w:rsidR="0015746B" w:rsidRPr="00131A91">
        <w:rPr>
          <w:b/>
          <w:bCs/>
          <w:lang w:val="en-US"/>
        </w:rPr>
        <w:t>.2 Executive summary</w:t>
      </w:r>
      <w:bookmarkEnd w:id="8"/>
      <w:bookmarkEnd w:id="9"/>
    </w:p>
    <w:p w14:paraId="7B49722B" w14:textId="367300F2" w:rsidR="003338E7" w:rsidRDefault="00131A91" w:rsidP="00131A91">
      <w:pPr>
        <w:jc w:val="both"/>
        <w:rPr>
          <w:lang w:val="en-US"/>
        </w:rPr>
      </w:pPr>
      <w:r w:rsidRPr="00131A91">
        <w:rPr>
          <w:lang w:val="en-US"/>
        </w:rPr>
        <w:t xml:space="preserve">This opinion provides an in-depth legal analysis of the mutual agreement procedure (MAP) under EU Directive 2017/1852, in the context of the transfer pricing audit involving Vimercati and its Romanian subsidiary, Vimercati EE. </w:t>
      </w:r>
    </w:p>
    <w:p w14:paraId="49AFC08D" w14:textId="2F78D291" w:rsidR="00973241" w:rsidRPr="00131A91" w:rsidRDefault="00131A91" w:rsidP="00131A91">
      <w:pPr>
        <w:jc w:val="both"/>
        <w:rPr>
          <w:lang w:val="en-US"/>
        </w:rPr>
      </w:pPr>
      <w:r w:rsidRPr="00131A91">
        <w:rPr>
          <w:lang w:val="en-US"/>
        </w:rPr>
        <w:t>The key findings are:</w:t>
      </w:r>
    </w:p>
    <w:p w14:paraId="3FA91E76" w14:textId="3094FA84" w:rsidR="00973241" w:rsidRDefault="004235E8" w:rsidP="004235E8">
      <w:pPr>
        <w:pStyle w:val="Paragrafoelenco"/>
        <w:numPr>
          <w:ilvl w:val="0"/>
          <w:numId w:val="37"/>
        </w:numPr>
        <w:jc w:val="both"/>
        <w:rPr>
          <w:lang w:val="en-US"/>
        </w:rPr>
      </w:pPr>
      <w:r w:rsidRPr="00923CC8">
        <w:rPr>
          <w:lang w:val="en-US"/>
        </w:rPr>
        <w:t>A tax dispute</w:t>
      </w:r>
      <w:r>
        <w:rPr>
          <w:lang w:val="en-US"/>
        </w:rPr>
        <w:t xml:space="preserve">, in the meaning of the EU Directive no. </w:t>
      </w:r>
      <w:r w:rsidRPr="004235E8">
        <w:rPr>
          <w:lang w:val="en-US"/>
        </w:rPr>
        <w:t>2017/1852</w:t>
      </w:r>
      <w:r>
        <w:rPr>
          <w:lang w:val="en-US"/>
        </w:rPr>
        <w:t xml:space="preserve">, is pending </w:t>
      </w:r>
      <w:r w:rsidRPr="00960524">
        <w:rPr>
          <w:lang w:val="en-US"/>
        </w:rPr>
        <w:t xml:space="preserve">between </w:t>
      </w:r>
      <w:r w:rsidRPr="00725861">
        <w:rPr>
          <w:lang w:val="en-US"/>
        </w:rPr>
        <w:t>Italy and Romania</w:t>
      </w:r>
      <w:r>
        <w:rPr>
          <w:lang w:val="en-US"/>
        </w:rPr>
        <w:t xml:space="preserve"> </w:t>
      </w:r>
      <w:r w:rsidR="002E5EFC">
        <w:rPr>
          <w:lang w:val="en-US"/>
        </w:rPr>
        <w:t>and</w:t>
      </w:r>
      <w:r w:rsidR="002E5EFC" w:rsidRPr="002E5EFC">
        <w:rPr>
          <w:lang w:val="en-US"/>
        </w:rPr>
        <w:t xml:space="preserve"> falls within the scope </w:t>
      </w:r>
      <w:r w:rsidR="00611928">
        <w:rPr>
          <w:lang w:val="en-US"/>
        </w:rPr>
        <w:t>of</w:t>
      </w:r>
      <w:r>
        <w:rPr>
          <w:lang w:val="en-US"/>
        </w:rPr>
        <w:t xml:space="preserve"> the Double Tax Treaty in force</w:t>
      </w:r>
      <w:r w:rsidR="006D4F1A">
        <w:rPr>
          <w:lang w:val="en-US"/>
        </w:rPr>
        <w:t xml:space="preserve"> between the two States</w:t>
      </w:r>
      <w:r w:rsidR="00B90F75">
        <w:rPr>
          <w:lang w:val="en-US"/>
        </w:rPr>
        <w:t>;</w:t>
      </w:r>
    </w:p>
    <w:p w14:paraId="298C4888" w14:textId="4932DF30" w:rsidR="00131A91" w:rsidRPr="003338E7" w:rsidRDefault="00131A91" w:rsidP="003338E7">
      <w:pPr>
        <w:pStyle w:val="Paragrafoelenco"/>
        <w:numPr>
          <w:ilvl w:val="0"/>
          <w:numId w:val="37"/>
        </w:numPr>
        <w:jc w:val="both"/>
        <w:rPr>
          <w:lang w:val="en-US"/>
        </w:rPr>
      </w:pPr>
      <w:r w:rsidRPr="003338E7">
        <w:rPr>
          <w:lang w:val="en-US"/>
        </w:rPr>
        <w:lastRenderedPageBreak/>
        <w:t>Both Vimercati and Vimercati EE qualify as “</w:t>
      </w:r>
      <w:r w:rsidRPr="003338E7">
        <w:rPr>
          <w:i/>
          <w:iCs/>
          <w:lang w:val="en-US"/>
        </w:rPr>
        <w:t>affected persons</w:t>
      </w:r>
      <w:r w:rsidRPr="003338E7">
        <w:rPr>
          <w:lang w:val="en-US"/>
        </w:rPr>
        <w:t>” under the Directive and are therefore entitled to submit a MAP request</w:t>
      </w:r>
      <w:r w:rsidR="001740A7">
        <w:rPr>
          <w:lang w:val="en-US"/>
        </w:rPr>
        <w:t>;</w:t>
      </w:r>
    </w:p>
    <w:p w14:paraId="05C75277" w14:textId="11F93D05" w:rsidR="00131A91" w:rsidRPr="003338E7" w:rsidRDefault="00131A91" w:rsidP="003338E7">
      <w:pPr>
        <w:pStyle w:val="Paragrafoelenco"/>
        <w:numPr>
          <w:ilvl w:val="0"/>
          <w:numId w:val="37"/>
        </w:numPr>
        <w:jc w:val="both"/>
        <w:rPr>
          <w:lang w:val="en-US"/>
        </w:rPr>
      </w:pPr>
      <w:r w:rsidRPr="003338E7">
        <w:rPr>
          <w:lang w:val="en-US"/>
        </w:rPr>
        <w:t xml:space="preserve">The request cannot be rejected by the Italian or </w:t>
      </w:r>
      <w:r w:rsidR="00662114">
        <w:rPr>
          <w:lang w:val="en-US"/>
        </w:rPr>
        <w:t xml:space="preserve">the </w:t>
      </w:r>
      <w:r w:rsidRPr="003338E7">
        <w:rPr>
          <w:lang w:val="en-US"/>
        </w:rPr>
        <w:t xml:space="preserve">Romanian </w:t>
      </w:r>
      <w:r w:rsidR="00662114">
        <w:rPr>
          <w:lang w:val="en-US"/>
        </w:rPr>
        <w:t>CA</w:t>
      </w:r>
      <w:r w:rsidRPr="003338E7">
        <w:rPr>
          <w:lang w:val="en-US"/>
        </w:rPr>
        <w:t>, provided it includes the required information, is submitted within the three-year deadline and concerns a genuine dispute over the interpretation or application of a double tax treaty</w:t>
      </w:r>
      <w:r w:rsidR="001740A7">
        <w:rPr>
          <w:lang w:val="en-US"/>
        </w:rPr>
        <w:t>;</w:t>
      </w:r>
    </w:p>
    <w:p w14:paraId="35690918" w14:textId="77777777" w:rsidR="001740A7" w:rsidRDefault="00131A91" w:rsidP="001740A7">
      <w:pPr>
        <w:pStyle w:val="Paragrafoelenco"/>
        <w:numPr>
          <w:ilvl w:val="0"/>
          <w:numId w:val="37"/>
        </w:numPr>
        <w:jc w:val="both"/>
        <w:rPr>
          <w:lang w:val="en-US"/>
        </w:rPr>
      </w:pPr>
      <w:r w:rsidRPr="001740A7">
        <w:rPr>
          <w:lang w:val="en-US"/>
        </w:rPr>
        <w:t xml:space="preserve">The Directive obliges the competent authorities to engage in good faith negotiations to eliminate double taxation. </w:t>
      </w:r>
    </w:p>
    <w:p w14:paraId="236686AA" w14:textId="6599ADD3" w:rsidR="004D5771" w:rsidRDefault="00131A91" w:rsidP="000A5B0C">
      <w:pPr>
        <w:pStyle w:val="Paragrafoelenco"/>
        <w:numPr>
          <w:ilvl w:val="0"/>
          <w:numId w:val="37"/>
        </w:numPr>
        <w:jc w:val="both"/>
        <w:rPr>
          <w:lang w:val="en-US"/>
        </w:rPr>
      </w:pPr>
      <w:r w:rsidRPr="001740A7">
        <w:rPr>
          <w:lang w:val="en-US"/>
        </w:rPr>
        <w:t>If no agreement is reached, the taxpayer has the right to request the establishment of an Advisory Commission, which ensures a binding resolution mechanism.</w:t>
      </w:r>
    </w:p>
    <w:p w14:paraId="0EE0C544" w14:textId="77777777" w:rsidR="00662114" w:rsidRPr="001E0E29" w:rsidRDefault="00662114" w:rsidP="00662114">
      <w:pPr>
        <w:pStyle w:val="Paragrafoelenco"/>
        <w:jc w:val="both"/>
        <w:rPr>
          <w:lang w:val="en-US"/>
        </w:rPr>
      </w:pPr>
    </w:p>
    <w:p w14:paraId="4035BD2F" w14:textId="16A31956" w:rsidR="00AC691E" w:rsidRPr="00341A74" w:rsidRDefault="00710564" w:rsidP="000A5B0C">
      <w:pPr>
        <w:pStyle w:val="Titolo1"/>
        <w:numPr>
          <w:ilvl w:val="0"/>
          <w:numId w:val="29"/>
        </w:numPr>
        <w:jc w:val="both"/>
        <w:rPr>
          <w:b/>
          <w:bCs w:val="0"/>
          <w:lang w:val="it-IT"/>
        </w:rPr>
      </w:pPr>
      <w:bookmarkStart w:id="10" w:name="_Toc201335617"/>
      <w:bookmarkStart w:id="11" w:name="_Toc201671055"/>
      <w:r>
        <w:rPr>
          <w:b/>
          <w:bCs w:val="0"/>
          <w:lang w:val="it-IT"/>
        </w:rPr>
        <w:t>Preliminary considerations</w:t>
      </w:r>
      <w:bookmarkEnd w:id="10"/>
      <w:bookmarkEnd w:id="11"/>
    </w:p>
    <w:p w14:paraId="68A78538" w14:textId="2B1AC8DD" w:rsidR="00AC691E" w:rsidRPr="00AC691E" w:rsidRDefault="00794B4C" w:rsidP="000A5B0C">
      <w:pPr>
        <w:pStyle w:val="Titolo2"/>
        <w:jc w:val="both"/>
        <w:rPr>
          <w:lang w:val="en-US"/>
        </w:rPr>
      </w:pPr>
      <w:bookmarkStart w:id="12" w:name="_Toc201335618"/>
      <w:bookmarkStart w:id="13" w:name="_Toc201671056"/>
      <w:r w:rsidRPr="00923CC8">
        <w:rPr>
          <w:b/>
          <w:bCs/>
          <w:lang w:val="en-US"/>
        </w:rPr>
        <w:t>3</w:t>
      </w:r>
      <w:r w:rsidR="00AC691E" w:rsidRPr="00923CC8">
        <w:rPr>
          <w:b/>
          <w:bCs/>
          <w:lang w:val="en-US"/>
        </w:rPr>
        <w:t>.1</w:t>
      </w:r>
      <w:r w:rsidR="00AC691E" w:rsidRPr="00923CC8">
        <w:rPr>
          <w:b/>
          <w:bCs/>
          <w:lang w:val="en-US"/>
        </w:rPr>
        <w:tab/>
        <w:t>Introduction</w:t>
      </w:r>
      <w:bookmarkEnd w:id="12"/>
      <w:bookmarkEnd w:id="13"/>
    </w:p>
    <w:p w14:paraId="7DAEAAAE" w14:textId="77777777" w:rsidR="00AC691E" w:rsidRPr="00AC691E" w:rsidRDefault="00AC691E" w:rsidP="000A5B0C">
      <w:pPr>
        <w:jc w:val="both"/>
        <w:rPr>
          <w:lang w:val="en-US"/>
        </w:rPr>
      </w:pPr>
      <w:r w:rsidRPr="00AC691E">
        <w:rPr>
          <w:lang w:val="en-US"/>
        </w:rPr>
        <w:t>To comprehensively address the questions posed, we believe it necessary to provide some preliminary considerations. While these considerations do not represent topics under discussion, they are nonetheless essential for properly framing the regulatory and interpretative context in which the relevant norms are placed.</w:t>
      </w:r>
    </w:p>
    <w:p w14:paraId="30D6C049" w14:textId="233DFD8F" w:rsidR="00AC691E" w:rsidRPr="00AC691E" w:rsidRDefault="00794B4C" w:rsidP="000A5B0C">
      <w:pPr>
        <w:pStyle w:val="Titolo2"/>
        <w:jc w:val="both"/>
        <w:rPr>
          <w:b/>
          <w:bCs/>
          <w:lang w:val="en-US"/>
        </w:rPr>
      </w:pPr>
      <w:bookmarkStart w:id="14" w:name="_Toc201335619"/>
      <w:bookmarkStart w:id="15" w:name="_Toc201671057"/>
      <w:r>
        <w:rPr>
          <w:b/>
          <w:bCs/>
          <w:lang w:val="en-US"/>
        </w:rPr>
        <w:t>3</w:t>
      </w:r>
      <w:r w:rsidR="00AC691E" w:rsidRPr="00AC691E">
        <w:rPr>
          <w:b/>
          <w:bCs/>
          <w:lang w:val="en-US"/>
        </w:rPr>
        <w:t>.2</w:t>
      </w:r>
      <w:r w:rsidR="00AC691E" w:rsidRPr="00AC691E">
        <w:rPr>
          <w:b/>
          <w:bCs/>
          <w:lang w:val="en-US"/>
        </w:rPr>
        <w:tab/>
        <w:t>International best practice and domestic provisions concerning transfer pricing</w:t>
      </w:r>
      <w:bookmarkEnd w:id="14"/>
      <w:bookmarkEnd w:id="15"/>
    </w:p>
    <w:p w14:paraId="399B79BA" w14:textId="77777777" w:rsidR="00AC691E" w:rsidRPr="00AC691E" w:rsidRDefault="00AC691E" w:rsidP="000A5B0C">
      <w:pPr>
        <w:jc w:val="both"/>
        <w:rPr>
          <w:lang w:val="en-US"/>
        </w:rPr>
      </w:pPr>
      <w:r w:rsidRPr="00AC691E">
        <w:rPr>
          <w:lang w:val="en-US"/>
        </w:rPr>
        <w:t>Article 9 of the OECD Model Convention is considered the enunciation as well as the pillar of the arm's length principle.</w:t>
      </w:r>
    </w:p>
    <w:p w14:paraId="72981139" w14:textId="28B6849A" w:rsidR="00425050" w:rsidRDefault="001B212C" w:rsidP="00425050">
      <w:pPr>
        <w:jc w:val="both"/>
        <w:rPr>
          <w:lang w:val="en-US"/>
        </w:rPr>
      </w:pPr>
      <w:r w:rsidRPr="00403665">
        <w:rPr>
          <w:lang w:val="en-US"/>
        </w:rPr>
        <w:t>Th</w:t>
      </w:r>
      <w:r w:rsidR="00403665">
        <w:rPr>
          <w:lang w:val="en-US"/>
        </w:rPr>
        <w:t>is</w:t>
      </w:r>
      <w:r w:rsidRPr="00403665">
        <w:rPr>
          <w:lang w:val="en-US"/>
        </w:rPr>
        <w:t xml:space="preserve"> enunciatio</w:t>
      </w:r>
      <w:r w:rsidR="00DB4D7F" w:rsidRPr="00403665">
        <w:rPr>
          <w:lang w:val="en-US"/>
        </w:rPr>
        <w:t xml:space="preserve">n is </w:t>
      </w:r>
      <w:r w:rsidR="00403665" w:rsidRPr="00403665">
        <w:rPr>
          <w:lang w:val="en-US"/>
        </w:rPr>
        <w:t>t</w:t>
      </w:r>
      <w:r w:rsidR="00403665">
        <w:rPr>
          <w:lang w:val="en-US"/>
        </w:rPr>
        <w:t xml:space="preserve">ransposed in the article 9 of the </w:t>
      </w:r>
      <w:r w:rsidR="00E77613">
        <w:rPr>
          <w:lang w:val="en-US"/>
        </w:rPr>
        <w:t>“</w:t>
      </w:r>
      <w:r w:rsidR="00440714" w:rsidRPr="00440714">
        <w:rPr>
          <w:i/>
          <w:iCs/>
          <w:lang w:val="en-US"/>
        </w:rPr>
        <w:t>Convention between the</w:t>
      </w:r>
      <w:r w:rsidR="00440714">
        <w:rPr>
          <w:lang w:val="en-US"/>
        </w:rPr>
        <w:t xml:space="preserve"> </w:t>
      </w:r>
      <w:r w:rsidR="00E77613" w:rsidRPr="00E77613">
        <w:rPr>
          <w:i/>
          <w:iCs/>
          <w:lang w:val="en-US"/>
        </w:rPr>
        <w:t>Italian</w:t>
      </w:r>
      <w:r w:rsidR="00E77613">
        <w:rPr>
          <w:lang w:val="en-US"/>
        </w:rPr>
        <w:t xml:space="preserve"> </w:t>
      </w:r>
      <w:r w:rsidR="00E77613" w:rsidRPr="00E77613">
        <w:rPr>
          <w:i/>
          <w:iCs/>
          <w:lang w:val="en-US"/>
        </w:rPr>
        <w:t>Republic</w:t>
      </w:r>
      <w:r w:rsidR="00E77613">
        <w:rPr>
          <w:i/>
          <w:iCs/>
          <w:lang w:val="en-US"/>
        </w:rPr>
        <w:t xml:space="preserve"> and Romania for the avoidance of double taxation with respect to taxes on income and the prevention of fiscal evasion”</w:t>
      </w:r>
      <w:r w:rsidR="00525AEE">
        <w:rPr>
          <w:lang w:val="en-US"/>
        </w:rPr>
        <w:t xml:space="preserve"> according to</w:t>
      </w:r>
      <w:r w:rsidR="00662114">
        <w:rPr>
          <w:lang w:val="en-US"/>
        </w:rPr>
        <w:t xml:space="preserve"> which</w:t>
      </w:r>
      <w:r w:rsidR="00403665">
        <w:rPr>
          <w:lang w:val="en-US"/>
        </w:rPr>
        <w:t xml:space="preserve">: </w:t>
      </w:r>
    </w:p>
    <w:p w14:paraId="39CA9DBB" w14:textId="1EA1E3D1" w:rsidR="00425050" w:rsidRPr="00183659" w:rsidRDefault="00183659" w:rsidP="000B6541">
      <w:pPr>
        <w:ind w:left="284"/>
        <w:jc w:val="both"/>
        <w:rPr>
          <w:i/>
          <w:iCs/>
          <w:lang w:val="en-US"/>
        </w:rPr>
      </w:pPr>
      <w:r w:rsidRPr="00183659">
        <w:rPr>
          <w:lang w:val="en-US"/>
        </w:rPr>
        <w:t>“</w:t>
      </w:r>
      <w:r w:rsidR="00425050" w:rsidRPr="00183659">
        <w:rPr>
          <w:i/>
          <w:iCs/>
          <w:lang w:val="en-US"/>
        </w:rPr>
        <w:t>1. Where</w:t>
      </w:r>
    </w:p>
    <w:p w14:paraId="2D11E5ED" w14:textId="77777777" w:rsidR="00425050" w:rsidRPr="00183659" w:rsidRDefault="00425050" w:rsidP="000B6541">
      <w:pPr>
        <w:ind w:left="284"/>
        <w:jc w:val="both"/>
        <w:rPr>
          <w:i/>
          <w:iCs/>
          <w:lang w:val="en-US"/>
        </w:rPr>
      </w:pPr>
      <w:r w:rsidRPr="00183659">
        <w:rPr>
          <w:i/>
          <w:iCs/>
          <w:lang w:val="en-US"/>
        </w:rPr>
        <w:t>(a) an enterprise of a Contracting State participates directly or indirectly in the management, control or capital of an enterprise of the other Contracting State, or</w:t>
      </w:r>
    </w:p>
    <w:p w14:paraId="22AE8A85" w14:textId="77777777" w:rsidR="00425050" w:rsidRPr="00183659" w:rsidRDefault="00425050" w:rsidP="000B6541">
      <w:pPr>
        <w:ind w:left="284"/>
        <w:jc w:val="both"/>
        <w:rPr>
          <w:i/>
          <w:iCs/>
          <w:lang w:val="en-US"/>
        </w:rPr>
      </w:pPr>
      <w:r w:rsidRPr="00183659">
        <w:rPr>
          <w:i/>
          <w:iCs/>
          <w:lang w:val="en-US"/>
        </w:rPr>
        <w:t>(b) the same persons participate directly or indirectly in the management, control or capital of an enterprise of a Contracting State and an enterprise of the other Contracting State,</w:t>
      </w:r>
    </w:p>
    <w:p w14:paraId="20F92489" w14:textId="1D04C67E" w:rsidR="001B212C" w:rsidRPr="00183659" w:rsidRDefault="00425050" w:rsidP="000B6541">
      <w:pPr>
        <w:ind w:left="284"/>
        <w:jc w:val="both"/>
        <w:rPr>
          <w:i/>
          <w:iCs/>
          <w:lang w:val="en-US"/>
        </w:rPr>
      </w:pPr>
      <w:r w:rsidRPr="00183659">
        <w:rPr>
          <w:i/>
          <w:iCs/>
          <w:lang w:val="en-US"/>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14:paraId="1C9999CE" w14:textId="4AF24E33" w:rsidR="00AC691E" w:rsidRPr="00AC691E" w:rsidRDefault="001D14D4" w:rsidP="000B6541">
      <w:pPr>
        <w:ind w:left="284"/>
        <w:jc w:val="both"/>
        <w:rPr>
          <w:lang w:val="en-US"/>
        </w:rPr>
      </w:pPr>
      <w:r w:rsidRPr="00183659">
        <w:rPr>
          <w:i/>
          <w:iCs/>
        </w:rPr>
        <w:t>2.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 mentioned State if the conditions made between the two enterprises had been those which would have been made between independent enterprises, then that other State shall make an appropriate adjustment to the amount of the tax charged therein on those profits.</w:t>
      </w:r>
      <w:r w:rsidR="00183659" w:rsidRPr="00183659">
        <w:rPr>
          <w:i/>
          <w:iCs/>
        </w:rPr>
        <w:t xml:space="preserve"> Any such adjustment shall be made in accordance with the mutual agreement procedure provided for by Article 25 of this Convention</w:t>
      </w:r>
      <w:r w:rsidR="00183659">
        <w:t>”</w:t>
      </w:r>
    </w:p>
    <w:p w14:paraId="4BAE4761" w14:textId="7B8163E0" w:rsidR="00AC691E" w:rsidRPr="00AC691E" w:rsidRDefault="00AC691E" w:rsidP="000A5B0C">
      <w:pPr>
        <w:jc w:val="both"/>
        <w:rPr>
          <w:lang w:val="en-US"/>
        </w:rPr>
      </w:pPr>
      <w:r w:rsidRPr="00AC691E">
        <w:rPr>
          <w:lang w:val="en-US"/>
        </w:rPr>
        <w:t>It is also the sole article in the OECD Model Convention that deals with economic double taxation. Generally, double taxation agreements (hereafter “</w:t>
      </w:r>
      <w:r w:rsidRPr="000B6541">
        <w:rPr>
          <w:b/>
          <w:bCs/>
          <w:i/>
          <w:iCs/>
          <w:lang w:val="en-US"/>
        </w:rPr>
        <w:t>DTA</w:t>
      </w:r>
      <w:r w:rsidR="000B6541">
        <w:rPr>
          <w:i/>
          <w:iCs/>
          <w:lang w:val="en-US"/>
        </w:rPr>
        <w:t>”</w:t>
      </w:r>
      <w:r w:rsidRPr="00AC691E">
        <w:rPr>
          <w:lang w:val="en-US"/>
        </w:rPr>
        <w:t xml:space="preserve"> or </w:t>
      </w:r>
      <w:r w:rsidR="000B6541">
        <w:rPr>
          <w:lang w:val="en-US"/>
        </w:rPr>
        <w:t>“</w:t>
      </w:r>
      <w:r w:rsidRPr="000B6541">
        <w:rPr>
          <w:b/>
          <w:bCs/>
          <w:i/>
          <w:iCs/>
          <w:lang w:val="en-US"/>
        </w:rPr>
        <w:t>DTAs</w:t>
      </w:r>
      <w:r w:rsidRPr="00AC691E">
        <w:rPr>
          <w:lang w:val="en-US"/>
        </w:rPr>
        <w:t>”) are concerned with the avoidance of juridical double taxation whereas, in the present case, double taxation occurs in respect of two independent legal entities (associated enterprises) resident in two different States.</w:t>
      </w:r>
    </w:p>
    <w:p w14:paraId="77F54261" w14:textId="77254F16" w:rsidR="00AC691E" w:rsidRPr="00AC691E" w:rsidRDefault="00AC691E" w:rsidP="000A5B0C">
      <w:pPr>
        <w:jc w:val="both"/>
        <w:rPr>
          <w:lang w:val="en-US"/>
        </w:rPr>
      </w:pPr>
      <w:r w:rsidRPr="00AC691E">
        <w:rPr>
          <w:lang w:val="en-US"/>
        </w:rPr>
        <w:t xml:space="preserve">The </w:t>
      </w:r>
      <w:r w:rsidR="004777AD">
        <w:rPr>
          <w:lang w:val="en-US"/>
        </w:rPr>
        <w:t xml:space="preserve">Italian </w:t>
      </w:r>
      <w:r w:rsidRPr="00AC691E">
        <w:rPr>
          <w:lang w:val="en-US"/>
        </w:rPr>
        <w:t xml:space="preserve">regulation of transfer pricing is contained, as far as direct taxes are concerned, in Article 110, paragraph 7, </w:t>
      </w:r>
      <w:r w:rsidR="0050146C" w:rsidRPr="00DF4222">
        <w:rPr>
          <w:lang w:val="en-US"/>
        </w:rPr>
        <w:t>of the Italian Income Tax Code (TUIR)</w:t>
      </w:r>
      <w:r w:rsidRPr="00AC691E">
        <w:rPr>
          <w:lang w:val="en-US"/>
        </w:rPr>
        <w:t xml:space="preserve"> (hereafter “</w:t>
      </w:r>
      <w:r w:rsidRPr="004777AD">
        <w:rPr>
          <w:b/>
          <w:bCs/>
          <w:i/>
          <w:iCs/>
          <w:lang w:val="en-US"/>
        </w:rPr>
        <w:t>Article 110(7)</w:t>
      </w:r>
      <w:r w:rsidRPr="00AC691E">
        <w:rPr>
          <w:lang w:val="en-US"/>
        </w:rPr>
        <w:t>”) and in the Ministerial Decree of 14 May 2018 (hereinafter, “</w:t>
      </w:r>
      <w:r w:rsidRPr="004777AD">
        <w:rPr>
          <w:b/>
          <w:bCs/>
          <w:lang w:val="en-US"/>
        </w:rPr>
        <w:t>Ministerial Decree 2018</w:t>
      </w:r>
      <w:r w:rsidRPr="00AC691E">
        <w:rPr>
          <w:lang w:val="en-US"/>
        </w:rPr>
        <w:t>”).</w:t>
      </w:r>
    </w:p>
    <w:p w14:paraId="170083E5" w14:textId="2668AFDE" w:rsidR="00AC691E" w:rsidRPr="00AC691E" w:rsidRDefault="00AC691E" w:rsidP="000A5B0C">
      <w:pPr>
        <w:jc w:val="both"/>
        <w:rPr>
          <w:lang w:val="en-US"/>
        </w:rPr>
      </w:pPr>
      <w:r w:rsidRPr="00AC691E">
        <w:rPr>
          <w:lang w:val="en-US"/>
        </w:rPr>
        <w:t>Article 110(7) states that: "</w:t>
      </w:r>
      <w:r w:rsidRPr="004777AD">
        <w:rPr>
          <w:i/>
          <w:iCs/>
          <w:lang w:val="en-US"/>
        </w:rPr>
        <w:t xml:space="preserve">Components of income arising from transactions with companies not resident in the territory of the State that directly or indirectly control the enterprise, are controlled by it or are controlled by the same company that controls the enterprise, are determined by reference to the terms and prices that would have been </w:t>
      </w:r>
      <w:r w:rsidRPr="004777AD">
        <w:rPr>
          <w:i/>
          <w:iCs/>
          <w:lang w:val="en-US"/>
        </w:rPr>
        <w:lastRenderedPageBreak/>
        <w:t>agreed between independent parties operating in the open market and in comparable circumstances... A decree of the Minister of Economy and Finance may determine, on the basis of international best practices, the guidelines for the application of this paragraph</w:t>
      </w:r>
      <w:r w:rsidRPr="00AC691E">
        <w:rPr>
          <w:lang w:val="en-US"/>
        </w:rPr>
        <w:t xml:space="preserve">”. This provision, by way of derogation from the principle of </w:t>
      </w:r>
      <w:r w:rsidR="00731E21" w:rsidRPr="00AC691E">
        <w:rPr>
          <w:lang w:val="en-US"/>
        </w:rPr>
        <w:t>relevance</w:t>
      </w:r>
      <w:r w:rsidRPr="00AC691E">
        <w:rPr>
          <w:lang w:val="en-US"/>
        </w:rPr>
        <w:t>, for tax purposes, of the consideration established between the parties, introduces an absolute presumption (</w:t>
      </w:r>
      <w:r w:rsidRPr="00C53740">
        <w:rPr>
          <w:i/>
          <w:iCs/>
          <w:lang w:val="en-US"/>
        </w:rPr>
        <w:t>iuris et de iure</w:t>
      </w:r>
      <w:r w:rsidRPr="00AC691E">
        <w:rPr>
          <w:lang w:val="en-US"/>
        </w:rPr>
        <w:t>) of the application of the arm's length price to a transaction entered into between a resident company and a non-resident company, if the two companies belong to the same economic entity.</w:t>
      </w:r>
    </w:p>
    <w:p w14:paraId="09D09706" w14:textId="77777777" w:rsidR="00AC691E" w:rsidRPr="00AC691E" w:rsidRDefault="00AC691E" w:rsidP="000A5B0C">
      <w:pPr>
        <w:jc w:val="both"/>
        <w:rPr>
          <w:lang w:val="en-US"/>
        </w:rPr>
      </w:pPr>
      <w:r w:rsidRPr="00AC691E">
        <w:rPr>
          <w:lang w:val="en-US"/>
        </w:rPr>
        <w:t xml:space="preserve">The purpose of the Ministerial Decree 2018 is not to provide exhaustive instructions on the interpretation of Article 110(7) but to give more detailed interpretations on certain specific issues, referring to the Guidelines for all specific issues. </w:t>
      </w:r>
    </w:p>
    <w:p w14:paraId="223E88D0" w14:textId="3B08BBD2" w:rsidR="00AC691E" w:rsidRPr="00AC691E" w:rsidRDefault="00794B4C" w:rsidP="000A5B0C">
      <w:pPr>
        <w:pStyle w:val="Titolo2"/>
        <w:jc w:val="both"/>
        <w:rPr>
          <w:b/>
          <w:bCs/>
          <w:lang w:val="en-US"/>
        </w:rPr>
      </w:pPr>
      <w:bookmarkStart w:id="16" w:name="_Toc201335620"/>
      <w:bookmarkStart w:id="17" w:name="_Toc201671058"/>
      <w:r>
        <w:rPr>
          <w:b/>
          <w:bCs/>
          <w:lang w:val="en-US"/>
        </w:rPr>
        <w:t>3</w:t>
      </w:r>
      <w:r w:rsidR="00AC691E" w:rsidRPr="00AC691E">
        <w:rPr>
          <w:b/>
          <w:bCs/>
          <w:lang w:val="en-US"/>
        </w:rPr>
        <w:t>.3 Transfer pricing and double taxation</w:t>
      </w:r>
      <w:bookmarkEnd w:id="16"/>
      <w:bookmarkEnd w:id="17"/>
    </w:p>
    <w:p w14:paraId="54135FEA" w14:textId="77777777" w:rsidR="00AC691E" w:rsidRPr="00AC691E" w:rsidRDefault="00AC691E" w:rsidP="000A5B0C">
      <w:pPr>
        <w:jc w:val="both"/>
        <w:rPr>
          <w:lang w:val="en-US"/>
        </w:rPr>
      </w:pPr>
      <w:r w:rsidRPr="00AC691E">
        <w:rPr>
          <w:lang w:val="en-US"/>
        </w:rPr>
        <w:t>“</w:t>
      </w:r>
      <w:r w:rsidRPr="00AB4E14">
        <w:rPr>
          <w:i/>
          <w:iCs/>
          <w:lang w:val="en-US"/>
        </w:rPr>
        <w:t>Dispute between taxpayers and their tax administrations and between different tax administrations [...] may arise even though the guidance in these Guidelines is followed in a conscientious effort to apply the arm’s length principle. It is possible that taxpayers and tax administrations may reach different determinations of the arm’s length conditions for the controlled transactions under examination given the complexity of some transfer pricing issues and the difficulties in interpreting and evaluating the circumstances of individual cases</w:t>
      </w:r>
      <w:r w:rsidRPr="00AC691E">
        <w:rPr>
          <w:lang w:val="en-US"/>
        </w:rPr>
        <w:t>”.</w:t>
      </w:r>
    </w:p>
    <w:p w14:paraId="0653715F" w14:textId="77777777" w:rsidR="00AC691E" w:rsidRPr="00AC691E" w:rsidRDefault="00AC691E" w:rsidP="000A5B0C">
      <w:pPr>
        <w:jc w:val="both"/>
        <w:rPr>
          <w:lang w:val="en-US"/>
        </w:rPr>
      </w:pPr>
      <w:r w:rsidRPr="00AC691E">
        <w:rPr>
          <w:lang w:val="en-US"/>
        </w:rPr>
        <w:t>“</w:t>
      </w:r>
      <w:r w:rsidRPr="00AB4E14">
        <w:rPr>
          <w:i/>
          <w:iCs/>
          <w:lang w:val="en-US"/>
        </w:rPr>
        <w:t>Where two or more tax administrations take different positions in determining arm’s length conditions, double taxation may occur. Double taxation means the inclusion of the same income in the tax base by more than one tax administration, when either the income is in the hands of different taxpayers (economic double taxation, for associated enterprises) or the income is in the hands of the same juridical entity (juridical double taxation, for permanent establishments). Double taxation is undesirable and should be eliminated whenever possible, because it constitutes a potential barrier to the development of international trade and investment flows</w:t>
      </w:r>
      <w:r w:rsidRPr="00AC691E">
        <w:rPr>
          <w:lang w:val="en-US"/>
        </w:rPr>
        <w:t>”.</w:t>
      </w:r>
    </w:p>
    <w:p w14:paraId="4A31096D" w14:textId="77777777" w:rsidR="00AC691E" w:rsidRPr="00AC691E" w:rsidRDefault="00AC691E" w:rsidP="000A5B0C">
      <w:pPr>
        <w:jc w:val="both"/>
        <w:rPr>
          <w:lang w:val="en-US"/>
        </w:rPr>
      </w:pPr>
      <w:r w:rsidRPr="00AC691E">
        <w:rPr>
          <w:lang w:val="en-US"/>
        </w:rPr>
        <w:t>These paragraphs of the Guidelines correctly represent the difficulty that transfer pricing rules pose in certain cases and the need for double taxation to be resolved in advance or removed.</w:t>
      </w:r>
    </w:p>
    <w:p w14:paraId="747DA25E" w14:textId="31B52F50" w:rsidR="00AC691E" w:rsidRPr="00AC691E" w:rsidRDefault="00AC691E" w:rsidP="000A5B0C">
      <w:pPr>
        <w:jc w:val="both"/>
        <w:rPr>
          <w:lang w:val="en-US"/>
        </w:rPr>
      </w:pPr>
      <w:r w:rsidRPr="00AC691E">
        <w:rPr>
          <w:lang w:val="en-US"/>
        </w:rPr>
        <w:t xml:space="preserve">A different position taken by taxpayers and financial administrations or between financial administrations with regard to a certain transfer pricing policy should not necessarily be interpreted as a misapplication of the TP law and best practise but, more frequently, as a different interpretation of the same facts, in an often very uncertain context. </w:t>
      </w:r>
    </w:p>
    <w:p w14:paraId="6AA57759" w14:textId="06C5CB32" w:rsidR="00CA7105" w:rsidRPr="00AC691E" w:rsidRDefault="00BA0225" w:rsidP="000A5B0C">
      <w:pPr>
        <w:pStyle w:val="Titolo2"/>
        <w:jc w:val="both"/>
        <w:rPr>
          <w:b/>
          <w:bCs/>
          <w:lang w:val="en-US"/>
        </w:rPr>
      </w:pPr>
      <w:bookmarkStart w:id="18" w:name="_Toc201335621"/>
      <w:bookmarkStart w:id="19" w:name="_Toc201671059"/>
      <w:r>
        <w:rPr>
          <w:b/>
          <w:bCs/>
          <w:lang w:val="en-US"/>
        </w:rPr>
        <w:t>3</w:t>
      </w:r>
      <w:r w:rsidR="00AC691E" w:rsidRPr="00AC691E">
        <w:rPr>
          <w:b/>
          <w:bCs/>
          <w:lang w:val="en-US"/>
        </w:rPr>
        <w:t>.4</w:t>
      </w:r>
      <w:r w:rsidR="00AC691E" w:rsidRPr="00AC691E">
        <w:rPr>
          <w:b/>
          <w:bCs/>
          <w:lang w:val="en-US"/>
        </w:rPr>
        <w:tab/>
        <w:t>Domestic and international instruments to remove double taxation</w:t>
      </w:r>
      <w:bookmarkEnd w:id="18"/>
      <w:bookmarkEnd w:id="19"/>
    </w:p>
    <w:p w14:paraId="0CE4A70E" w14:textId="48206F4F" w:rsidR="00DF4222" w:rsidRPr="00DF4222" w:rsidRDefault="00DF4222" w:rsidP="00DF4222">
      <w:pPr>
        <w:jc w:val="both"/>
        <w:rPr>
          <w:lang w:val="en-US"/>
        </w:rPr>
      </w:pPr>
      <w:r w:rsidRPr="00DF4222">
        <w:rPr>
          <w:lang w:val="en-US"/>
        </w:rPr>
        <w:t>The elimination of double taxation</w:t>
      </w:r>
      <w:r>
        <w:rPr>
          <w:lang w:val="en-US"/>
        </w:rPr>
        <w:t xml:space="preserve"> - </w:t>
      </w:r>
      <w:r w:rsidRPr="00DF4222">
        <w:rPr>
          <w:lang w:val="en-US"/>
        </w:rPr>
        <w:t>particularly in the context of transfer pricing disputes</w:t>
      </w:r>
      <w:r>
        <w:rPr>
          <w:lang w:val="en-US"/>
        </w:rPr>
        <w:t xml:space="preserve"> - </w:t>
      </w:r>
      <w:r w:rsidRPr="00DF4222">
        <w:rPr>
          <w:lang w:val="en-US"/>
        </w:rPr>
        <w:t>is a fundamental objective of both domestic legislation and international tax frameworks. Italy, like other OECD member states, has implemented a set of coordinated instruments to address this issue, ensuring alignment with international best practices.</w:t>
      </w:r>
    </w:p>
    <w:p w14:paraId="675D610A" w14:textId="55958E31" w:rsidR="00DF4222" w:rsidRDefault="00DF4222" w:rsidP="00DF4222">
      <w:pPr>
        <w:jc w:val="both"/>
        <w:rPr>
          <w:lang w:val="en-US"/>
        </w:rPr>
      </w:pPr>
      <w:r w:rsidRPr="00DF4222">
        <w:rPr>
          <w:lang w:val="en-US"/>
        </w:rPr>
        <w:t>At the domestic level, Article 110(7) TUIR</w:t>
      </w:r>
      <w:r w:rsidR="0050146C">
        <w:rPr>
          <w:lang w:val="en-US"/>
        </w:rPr>
        <w:t xml:space="preserve"> </w:t>
      </w:r>
      <w:r w:rsidRPr="00DF4222">
        <w:rPr>
          <w:lang w:val="en-US"/>
        </w:rPr>
        <w:t>provides the legal basis for adjusting taxable income in intercompany transactions that do not reflect arm’s length conditions. The Ministerial Decree of 14 May 2018 further refines the application of this provision, incorporating OECD Transfer Pricing Guidelines as interpretative tools. These instruments aim to prevent economic double taxation by allowing the Italian tax authority to adjust income in line with market conditions.</w:t>
      </w:r>
    </w:p>
    <w:p w14:paraId="49DC6AFD" w14:textId="4111DF8B" w:rsidR="006C0FD0" w:rsidRPr="006C0FD0" w:rsidRDefault="004C6651" w:rsidP="006C0FD0">
      <w:pPr>
        <w:jc w:val="both"/>
        <w:rPr>
          <w:lang w:val="en-US"/>
        </w:rPr>
      </w:pPr>
      <w:r>
        <w:rPr>
          <w:lang w:val="en-US"/>
        </w:rPr>
        <w:t>In detail, the article 31-quarter of Presidential Decree no.</w:t>
      </w:r>
      <w:r w:rsidR="00D62600">
        <w:rPr>
          <w:lang w:val="en-US"/>
        </w:rPr>
        <w:t xml:space="preserve"> 600/1973, provides </w:t>
      </w:r>
      <w:r w:rsidR="006C0FD0">
        <w:rPr>
          <w:lang w:val="en-US"/>
        </w:rPr>
        <w:t>t</w:t>
      </w:r>
      <w:r w:rsidR="006C0FD0" w:rsidRPr="006C0FD0">
        <w:rPr>
          <w:lang w:val="en-US"/>
        </w:rPr>
        <w:t>hat the recognition of downward adjustments to income following final adjustments made by foreign States may occur:</w:t>
      </w:r>
    </w:p>
    <w:p w14:paraId="52201C77" w14:textId="3B7978E5" w:rsidR="006C0FD0" w:rsidRPr="006C0FD0" w:rsidRDefault="006C0FD0" w:rsidP="006C0FD0">
      <w:pPr>
        <w:pStyle w:val="Paragrafoelenco"/>
        <w:numPr>
          <w:ilvl w:val="0"/>
          <w:numId w:val="37"/>
        </w:numPr>
        <w:jc w:val="both"/>
        <w:rPr>
          <w:lang w:val="en-US"/>
        </w:rPr>
      </w:pPr>
      <w:r w:rsidRPr="006C0FD0">
        <w:rPr>
          <w:lang w:val="en-US"/>
        </w:rPr>
        <w:t>in execution of agreements concluded with the competent authorities of foreign States as a result of mutual agreement procedures provided for by international conventions against double taxation, or by the Convention on the elimination of double taxation in connection with the adjustment of profits of associated enterprises of 23 July 1990 (implemented by Law No. 99 of 22 March 1993), the so-called “Arbitration Convention” (letter a)</w:t>
      </w:r>
      <w:r w:rsidR="00662114">
        <w:rPr>
          <w:lang w:val="en-US"/>
        </w:rPr>
        <w:t xml:space="preserve"> or by the EU Directive 2017/1852</w:t>
      </w:r>
      <w:r w:rsidRPr="006C0FD0">
        <w:rPr>
          <w:lang w:val="en-US"/>
        </w:rPr>
        <w:t>;</w:t>
      </w:r>
    </w:p>
    <w:p w14:paraId="1ABD08ED" w14:textId="46B0D638" w:rsidR="006C0FD0" w:rsidRPr="006C0FD0" w:rsidRDefault="006C0FD0" w:rsidP="006C0FD0">
      <w:pPr>
        <w:pStyle w:val="Paragrafoelenco"/>
        <w:numPr>
          <w:ilvl w:val="0"/>
          <w:numId w:val="37"/>
        </w:numPr>
        <w:jc w:val="both"/>
        <w:rPr>
          <w:lang w:val="en-US"/>
        </w:rPr>
      </w:pPr>
      <w:r w:rsidRPr="006C0FD0">
        <w:rPr>
          <w:lang w:val="en-US"/>
        </w:rPr>
        <w:t>upon conclusion of audits carried out within the framework of international cooperation activities, the outcomes of which are shared by the participating States (letter b);</w:t>
      </w:r>
    </w:p>
    <w:p w14:paraId="28580542" w14:textId="06351BDD" w:rsidR="006C0FD0" w:rsidRPr="006C0FD0" w:rsidRDefault="006C0FD0" w:rsidP="006C0FD0">
      <w:pPr>
        <w:pStyle w:val="Paragrafoelenco"/>
        <w:numPr>
          <w:ilvl w:val="0"/>
          <w:numId w:val="37"/>
        </w:numPr>
        <w:jc w:val="both"/>
        <w:rPr>
          <w:lang w:val="en-US"/>
        </w:rPr>
      </w:pPr>
      <w:r w:rsidRPr="006C0FD0">
        <w:rPr>
          <w:lang w:val="en-US"/>
        </w:rPr>
        <w:t>following a request by the taxpayer, in response to a final upward adjustment that is consistent with the arm’s length principle and made by a State with which a double taxation convention on income is in force and which allows for adequate exchange of information (letter c).</w:t>
      </w:r>
    </w:p>
    <w:p w14:paraId="34137313" w14:textId="77777777" w:rsidR="006C0FD0" w:rsidRPr="006C0FD0" w:rsidRDefault="006C0FD0" w:rsidP="006C0FD0">
      <w:pPr>
        <w:jc w:val="both"/>
        <w:rPr>
          <w:lang w:val="en-US"/>
        </w:rPr>
      </w:pPr>
      <w:r w:rsidRPr="006C0FD0">
        <w:rPr>
          <w:lang w:val="en-US"/>
        </w:rPr>
        <w:lastRenderedPageBreak/>
        <w:t>The Italian Revenue Agency’s Provision No. 108954 of 30 May 2018 sets out the procedures and deadlines by which, pursuant to Article 31-quater, paragraph 1, letter c) of Presidential Decree No. 600/73, enterprises may submit a request to access the procedure aimed at obtaining in Italy a downward adjustment to income in response to a final upward adjustment made in the foreign State.</w:t>
      </w:r>
    </w:p>
    <w:p w14:paraId="2216CBF6" w14:textId="141D3E66" w:rsidR="00ED5DFE" w:rsidRDefault="006C0FD0" w:rsidP="00DF4222">
      <w:pPr>
        <w:jc w:val="both"/>
        <w:rPr>
          <w:lang w:val="en-US"/>
        </w:rPr>
      </w:pPr>
      <w:r w:rsidRPr="006C0FD0">
        <w:rPr>
          <w:lang w:val="en-US"/>
        </w:rPr>
        <w:t>As specified in the provision, if the taxpayer does not wish to request activation of the aforementioned unilateral procedure, the option remains to directly request the activation of the mutual agreement procedures provided for by international conventions or by the Arbitration Convention</w:t>
      </w:r>
      <w:r w:rsidR="0050146C">
        <w:rPr>
          <w:lang w:val="en-US"/>
        </w:rPr>
        <w:t xml:space="preserve"> </w:t>
      </w:r>
      <w:r w:rsidR="00AB755A">
        <w:rPr>
          <w:lang w:val="en-US"/>
        </w:rPr>
        <w:t>or by the Directive</w:t>
      </w:r>
      <w:r w:rsidRPr="006C0FD0">
        <w:rPr>
          <w:lang w:val="en-US"/>
        </w:rPr>
        <w:t>.</w:t>
      </w:r>
    </w:p>
    <w:p w14:paraId="0AFD54AA" w14:textId="7FF2D65E" w:rsidR="00DF4222" w:rsidRPr="00DF4222" w:rsidRDefault="00DF4222" w:rsidP="00DF4222">
      <w:pPr>
        <w:jc w:val="both"/>
        <w:rPr>
          <w:lang w:val="en-US"/>
        </w:rPr>
      </w:pPr>
      <w:r w:rsidRPr="00DF4222">
        <w:rPr>
          <w:lang w:val="en-US"/>
        </w:rPr>
        <w:t>Internationally, Italy is party to numerous bilateral tax treaties based on the OECD Model Convention, which includes Article 9 as the cornerstone for addressing transfer pricing issues. Article 9(2) specifically provides for corresponding adjustments by the counterparty jurisdiction, thereby enabling the elimination of double taxation through mutual agreement procedures (MAPs).</w:t>
      </w:r>
    </w:p>
    <w:p w14:paraId="761FE161" w14:textId="3495F75C" w:rsidR="00DF4222" w:rsidRPr="00DF4222" w:rsidRDefault="00DF4222" w:rsidP="00DF4222">
      <w:pPr>
        <w:jc w:val="both"/>
        <w:rPr>
          <w:lang w:val="en-US"/>
        </w:rPr>
      </w:pPr>
      <w:r w:rsidRPr="00DF4222">
        <w:rPr>
          <w:lang w:val="en-US"/>
        </w:rPr>
        <w:t xml:space="preserve">In the European context, the EU Arbitration Convention (90/436/EEC) was the first multilateral instrument to introduce a binding obligation for competent authorities to resolve transfer pricing disputes. However, its practical </w:t>
      </w:r>
      <w:r w:rsidR="00731E21" w:rsidRPr="00DF4222">
        <w:rPr>
          <w:lang w:val="en-US"/>
        </w:rPr>
        <w:t>limitations</w:t>
      </w:r>
      <w:r w:rsidR="00731E21">
        <w:rPr>
          <w:lang w:val="en-US"/>
        </w:rPr>
        <w:t xml:space="preserve"> –</w:t>
      </w:r>
      <w:r w:rsidR="00731E21" w:rsidRPr="00DF4222">
        <w:rPr>
          <w:lang w:val="en-US"/>
        </w:rPr>
        <w:t xml:space="preserve"> </w:t>
      </w:r>
      <w:r w:rsidRPr="00DF4222">
        <w:rPr>
          <w:lang w:val="en-US"/>
        </w:rPr>
        <w:t>particularly the absence of strict deadlines and enforceable outcomes—have hindered its effectiveness.</w:t>
      </w:r>
    </w:p>
    <w:p w14:paraId="3200AA25" w14:textId="3B1C7E94" w:rsidR="00DF4222" w:rsidRPr="00DF4222" w:rsidRDefault="00DF4222" w:rsidP="00DF4222">
      <w:pPr>
        <w:jc w:val="both"/>
        <w:rPr>
          <w:lang w:val="en-US"/>
        </w:rPr>
      </w:pPr>
      <w:r w:rsidRPr="00DF4222">
        <w:rPr>
          <w:lang w:val="en-US"/>
        </w:rPr>
        <w:t>To overcome these shortcomings, the EU adopted Directive 2017/1852, which establishes a more robust and enforceable framework for resolving tax disputes. The Directive introduces mandatory timelines, procedural safeguards, and the possibility for taxpayers to request the establishment of an Advisory Commission or Alternative Dispute Resolution Commission. These mechanisms ensure that disputes are resolved within a reasonable timeframe and, crucially, that double taxation is effectively eliminated.</w:t>
      </w:r>
    </w:p>
    <w:p w14:paraId="1011461A" w14:textId="348FC428" w:rsidR="00BA0225" w:rsidRPr="00AC691E" w:rsidRDefault="00DF4222" w:rsidP="000A5B0C">
      <w:pPr>
        <w:jc w:val="both"/>
        <w:rPr>
          <w:lang w:val="en-US"/>
        </w:rPr>
      </w:pPr>
      <w:r w:rsidRPr="00DF4222">
        <w:rPr>
          <w:lang w:val="en-US"/>
        </w:rPr>
        <w:t>This layered system of domestic, bilateral, and EU-level instruments provides taxpayers with a comprehensive and increasingly reliable framework to address and resolve instances of double taxation, particularly in complex cross-border transfer pricing scenarios.</w:t>
      </w:r>
    </w:p>
    <w:p w14:paraId="7D72E889" w14:textId="7D16C337" w:rsidR="00EC46F4" w:rsidRPr="006B2F51" w:rsidRDefault="00EC46F4" w:rsidP="000A5B0C">
      <w:pPr>
        <w:pStyle w:val="Titolo1"/>
        <w:numPr>
          <w:ilvl w:val="0"/>
          <w:numId w:val="29"/>
        </w:numPr>
        <w:jc w:val="both"/>
        <w:rPr>
          <w:b/>
          <w:bCs w:val="0"/>
          <w:lang w:val="en-US"/>
        </w:rPr>
      </w:pPr>
      <w:bookmarkStart w:id="20" w:name="_Toc201335622"/>
      <w:bookmarkStart w:id="21" w:name="_Toc201671060"/>
      <w:r w:rsidRPr="006B2F51">
        <w:rPr>
          <w:b/>
          <w:bCs w:val="0"/>
          <w:lang w:val="en-US"/>
        </w:rPr>
        <w:t>European instruments available to remove double taxation</w:t>
      </w:r>
      <w:bookmarkEnd w:id="20"/>
      <w:bookmarkEnd w:id="21"/>
      <w:r w:rsidRPr="006B2F51">
        <w:rPr>
          <w:b/>
          <w:bCs w:val="0"/>
          <w:lang w:val="en-US"/>
        </w:rPr>
        <w:t xml:space="preserve"> </w:t>
      </w:r>
    </w:p>
    <w:p w14:paraId="40221BB9" w14:textId="77777777" w:rsidR="002C143E" w:rsidRPr="002C143E" w:rsidRDefault="002C143E" w:rsidP="000A5B0C">
      <w:pPr>
        <w:pStyle w:val="Titolo2"/>
        <w:jc w:val="both"/>
        <w:rPr>
          <w:b/>
          <w:bCs/>
          <w:lang w:val="en-US"/>
        </w:rPr>
      </w:pPr>
      <w:bookmarkStart w:id="22" w:name="_Toc201335623"/>
      <w:bookmarkStart w:id="23" w:name="_Toc201671061"/>
      <w:r w:rsidRPr="002C143E">
        <w:rPr>
          <w:b/>
          <w:bCs/>
          <w:lang w:val="en-US"/>
        </w:rPr>
        <w:t>4.1</w:t>
      </w:r>
      <w:r w:rsidRPr="002C143E">
        <w:rPr>
          <w:b/>
          <w:bCs/>
          <w:lang w:val="en-US"/>
        </w:rPr>
        <w:tab/>
        <w:t>Introduction</w:t>
      </w:r>
      <w:bookmarkEnd w:id="22"/>
      <w:bookmarkEnd w:id="23"/>
    </w:p>
    <w:p w14:paraId="778E71B4" w14:textId="6511E787" w:rsidR="002C143E" w:rsidRPr="002C143E" w:rsidRDefault="002C143E" w:rsidP="000A5B0C">
      <w:pPr>
        <w:jc w:val="both"/>
        <w:rPr>
          <w:lang w:val="en-US"/>
        </w:rPr>
      </w:pPr>
      <w:r w:rsidRPr="002C143E">
        <w:rPr>
          <w:lang w:val="en-US"/>
        </w:rPr>
        <w:t xml:space="preserve">The European Union has, </w:t>
      </w:r>
      <w:r w:rsidR="00614A86" w:rsidRPr="002C143E">
        <w:rPr>
          <w:lang w:val="en-US"/>
        </w:rPr>
        <w:t>for a long</w:t>
      </w:r>
      <w:r w:rsidRPr="002C143E">
        <w:rPr>
          <w:lang w:val="en-US"/>
        </w:rPr>
        <w:t xml:space="preserve"> time, paid particular attention to the problems that transfer pricing poses within the single market: on the one hand, compliance costs and, on the other, the risks of litigation and double taxation.</w:t>
      </w:r>
    </w:p>
    <w:p w14:paraId="2EACFD01" w14:textId="77777777" w:rsidR="002C143E" w:rsidRPr="002C143E" w:rsidRDefault="002C143E" w:rsidP="000A5B0C">
      <w:pPr>
        <w:jc w:val="both"/>
        <w:rPr>
          <w:lang w:val="en-US"/>
        </w:rPr>
      </w:pPr>
      <w:r w:rsidRPr="002C143E">
        <w:rPr>
          <w:lang w:val="en-US"/>
        </w:rPr>
        <w:t xml:space="preserve">At EU level, with an innovative approach, the European Multilateral Convention, more commonly known as the Arbitration Convention, was approved in 1990, introducing, inter alia, the obligation for the CAs to reach an agreement that removes double taxation. At the OECD level, in fact, the arbitration clause was only included in the OECD Model Convention in Article 25(5) 18 years later, with the 2008 version. </w:t>
      </w:r>
    </w:p>
    <w:p w14:paraId="3D72D785" w14:textId="77777777" w:rsidR="002C143E" w:rsidRPr="002C143E" w:rsidRDefault="002C143E" w:rsidP="000A5B0C">
      <w:pPr>
        <w:jc w:val="both"/>
        <w:rPr>
          <w:lang w:val="en-US"/>
        </w:rPr>
      </w:pPr>
      <w:r w:rsidRPr="002C143E">
        <w:rPr>
          <w:lang w:val="en-US"/>
        </w:rPr>
        <w:t xml:space="preserve">The significant effort posed, however, did not allow to reach the goal: the procedure provided for in the Arbitration Convention, without the imposition of clear time limits and alternative procedures, has suffered time deferral, and the arbitration phase appears to have been activated in a number of cases that is quite marginal compared to the total number of cases that have been open for more than two years. </w:t>
      </w:r>
    </w:p>
    <w:p w14:paraId="441B6C81" w14:textId="365885E7" w:rsidR="002C143E" w:rsidRPr="002C143E" w:rsidRDefault="002C143E" w:rsidP="000A5B0C">
      <w:pPr>
        <w:jc w:val="both"/>
        <w:rPr>
          <w:lang w:val="en-US"/>
        </w:rPr>
      </w:pPr>
      <w:r w:rsidRPr="002C143E">
        <w:rPr>
          <w:lang w:val="en-US"/>
        </w:rPr>
        <w:t>For this reason, the European Commission decided not to intervene on the Arbitration Convention but to adopt a new instrument which</w:t>
      </w:r>
      <w:r w:rsidR="00662114">
        <w:rPr>
          <w:lang w:val="en-US"/>
        </w:rPr>
        <w:t xml:space="preserve"> is</w:t>
      </w:r>
      <w:r w:rsidRPr="002C143E">
        <w:rPr>
          <w:lang w:val="en-US"/>
        </w:rPr>
        <w:t xml:space="preserve"> able to achieve its objectives, the Dispute Resolution Directive. </w:t>
      </w:r>
    </w:p>
    <w:p w14:paraId="6B1E79D6" w14:textId="77777777" w:rsidR="002C143E" w:rsidRPr="002C143E" w:rsidRDefault="002C143E" w:rsidP="000A5B0C">
      <w:pPr>
        <w:pStyle w:val="Titolo2"/>
        <w:jc w:val="both"/>
        <w:rPr>
          <w:b/>
          <w:bCs/>
          <w:lang w:val="en-US"/>
        </w:rPr>
      </w:pPr>
      <w:bookmarkStart w:id="24" w:name="_Toc201335624"/>
      <w:bookmarkStart w:id="25" w:name="_Toc201671062"/>
      <w:r w:rsidRPr="002C143E">
        <w:rPr>
          <w:b/>
          <w:bCs/>
          <w:lang w:val="en-US"/>
        </w:rPr>
        <w:t>4.2</w:t>
      </w:r>
      <w:r w:rsidRPr="002C143E">
        <w:rPr>
          <w:b/>
          <w:bCs/>
          <w:lang w:val="en-US"/>
        </w:rPr>
        <w:tab/>
        <w:t>The EU Directive on dispute resolution</w:t>
      </w:r>
      <w:bookmarkEnd w:id="24"/>
      <w:bookmarkEnd w:id="25"/>
    </w:p>
    <w:p w14:paraId="0B34F2F1" w14:textId="52F86C4A" w:rsidR="002C143E" w:rsidRPr="002C143E" w:rsidRDefault="002C143E" w:rsidP="000A5B0C">
      <w:pPr>
        <w:jc w:val="both"/>
        <w:rPr>
          <w:lang w:val="en-US"/>
        </w:rPr>
      </w:pPr>
      <w:r w:rsidRPr="002C143E">
        <w:rPr>
          <w:lang w:val="en-US"/>
        </w:rPr>
        <w:t xml:space="preserve">The Council, on a proposal by the Commission, approved a Directive on dispute resolution mechanisms in tax matters. The planned abandonment of the Arbitration Convention and the adoption of a Directive lie in the </w:t>
      </w:r>
      <w:r w:rsidR="00C96C3C" w:rsidRPr="002C143E">
        <w:rPr>
          <w:lang w:val="en-US"/>
        </w:rPr>
        <w:t>realization</w:t>
      </w:r>
      <w:r w:rsidRPr="002C143E">
        <w:rPr>
          <w:lang w:val="en-US"/>
        </w:rPr>
        <w:t xml:space="preserve"> that the former is inadequate to resolve Community disputes. </w:t>
      </w:r>
    </w:p>
    <w:p w14:paraId="22CC584A" w14:textId="6A184A37" w:rsidR="00421B0E" w:rsidRDefault="00421B0E" w:rsidP="000A5B0C">
      <w:pPr>
        <w:jc w:val="both"/>
        <w:rPr>
          <w:lang w:val="en-US"/>
        </w:rPr>
      </w:pPr>
      <w:r w:rsidRPr="00421B0E">
        <w:rPr>
          <w:lang w:val="en-US"/>
        </w:rPr>
        <w:t xml:space="preserve">The Directive is nevertheless built on the structure of the Arbitration Convention, but complements it, seeking to remove all of its shortcomings by, inter alia, imposing peremptory deadlines and obligations that should effectively ensure the initiation, administration and completion of the procedure within a reasonable timeframe. </w:t>
      </w:r>
    </w:p>
    <w:p w14:paraId="1C81C831" w14:textId="3908D47C" w:rsidR="002C143E" w:rsidRPr="002C143E" w:rsidRDefault="002C143E" w:rsidP="000A5B0C">
      <w:pPr>
        <w:jc w:val="both"/>
        <w:rPr>
          <w:lang w:val="en-US"/>
        </w:rPr>
      </w:pPr>
      <w:r w:rsidRPr="002C143E">
        <w:rPr>
          <w:lang w:val="en-US"/>
        </w:rPr>
        <w:t xml:space="preserve">The Directive applies to claims filed on or after 1 July 2019 concerning disputes relating to tax periods that began on or after 1 January 2018. </w:t>
      </w:r>
    </w:p>
    <w:p w14:paraId="39E9B8BF" w14:textId="3B14D5F0" w:rsidR="002C143E" w:rsidRPr="002C143E" w:rsidRDefault="002C143E" w:rsidP="000A5B0C">
      <w:pPr>
        <w:pStyle w:val="Titolo2"/>
        <w:jc w:val="both"/>
        <w:rPr>
          <w:b/>
          <w:bCs/>
          <w:lang w:val="en-US"/>
        </w:rPr>
      </w:pPr>
      <w:bookmarkStart w:id="26" w:name="_Toc201335625"/>
      <w:bookmarkStart w:id="27" w:name="_Toc201671063"/>
      <w:r w:rsidRPr="002C143E">
        <w:rPr>
          <w:b/>
          <w:bCs/>
          <w:lang w:val="en-US"/>
        </w:rPr>
        <w:lastRenderedPageBreak/>
        <w:t>4.3</w:t>
      </w:r>
      <w:r w:rsidRPr="002C143E">
        <w:rPr>
          <w:b/>
          <w:bCs/>
          <w:lang w:val="en-US"/>
        </w:rPr>
        <w:tab/>
        <w:t xml:space="preserve">The implementation of the EU Directive 2017/1852 into the </w:t>
      </w:r>
      <w:r w:rsidR="0017473E">
        <w:rPr>
          <w:b/>
          <w:bCs/>
          <w:lang w:val="en-US"/>
        </w:rPr>
        <w:t>domestic</w:t>
      </w:r>
      <w:r w:rsidR="00BE548F">
        <w:rPr>
          <w:b/>
          <w:bCs/>
          <w:lang w:val="en-US"/>
        </w:rPr>
        <w:t xml:space="preserve"> </w:t>
      </w:r>
      <w:r w:rsidR="00C55F14">
        <w:rPr>
          <w:b/>
          <w:bCs/>
          <w:lang w:val="en-US"/>
        </w:rPr>
        <w:t>law</w:t>
      </w:r>
      <w:bookmarkEnd w:id="26"/>
      <w:bookmarkEnd w:id="27"/>
    </w:p>
    <w:p w14:paraId="000CEF91" w14:textId="32B4A7DD" w:rsidR="00C55F14" w:rsidRDefault="00C55F14" w:rsidP="000A5B0C">
      <w:pPr>
        <w:jc w:val="both"/>
        <w:rPr>
          <w:lang w:val="en-US"/>
        </w:rPr>
      </w:pPr>
      <w:r w:rsidRPr="00421B0E">
        <w:rPr>
          <w:lang w:val="en-US"/>
        </w:rPr>
        <w:t xml:space="preserve">All aspects of the procedure are clearly regulated within the Directive itself, with Member States being required to fully transpose its provisions, thereby </w:t>
      </w:r>
      <w:r>
        <w:rPr>
          <w:lang w:val="en-US"/>
        </w:rPr>
        <w:t>ensuring</w:t>
      </w:r>
      <w:r w:rsidRPr="00421B0E">
        <w:rPr>
          <w:lang w:val="en-US"/>
        </w:rPr>
        <w:t xml:space="preserve"> </w:t>
      </w:r>
      <w:r w:rsidR="004235E8" w:rsidRPr="00421B0E">
        <w:rPr>
          <w:lang w:val="en-US"/>
        </w:rPr>
        <w:t>general</w:t>
      </w:r>
      <w:r w:rsidRPr="00421B0E">
        <w:rPr>
          <w:lang w:val="en-US"/>
        </w:rPr>
        <w:t xml:space="preserve"> uniformity in the application of national </w:t>
      </w:r>
      <w:r w:rsidR="004235E8" w:rsidRPr="00421B0E">
        <w:rPr>
          <w:lang w:val="en-US"/>
        </w:rPr>
        <w:t>implementation</w:t>
      </w:r>
      <w:r w:rsidRPr="00421B0E">
        <w:rPr>
          <w:lang w:val="en-US"/>
        </w:rPr>
        <w:t xml:space="preserve"> measures across the different Member States.</w:t>
      </w:r>
    </w:p>
    <w:p w14:paraId="60CE2FFB" w14:textId="27BDAEE1" w:rsidR="004E25ED" w:rsidRPr="00C55F14" w:rsidRDefault="002C143E" w:rsidP="000A5B0C">
      <w:pPr>
        <w:jc w:val="both"/>
        <w:rPr>
          <w:lang w:val="en-US"/>
        </w:rPr>
      </w:pPr>
      <w:r w:rsidRPr="004235E8">
        <w:rPr>
          <w:lang w:val="en-US"/>
        </w:rPr>
        <w:t xml:space="preserve">Italy implemented the Directive with Legislative Decree </w:t>
      </w:r>
      <w:r w:rsidR="00A417DD">
        <w:rPr>
          <w:lang w:val="en-US"/>
        </w:rPr>
        <w:t>n</w:t>
      </w:r>
      <w:r w:rsidR="00A417DD" w:rsidRPr="004235E8">
        <w:rPr>
          <w:lang w:val="en-US"/>
        </w:rPr>
        <w:t>o</w:t>
      </w:r>
      <w:r w:rsidRPr="004235E8">
        <w:rPr>
          <w:lang w:val="en-US"/>
        </w:rPr>
        <w:t>. 49 of 10 June 2020</w:t>
      </w:r>
      <w:r w:rsidR="005309BD">
        <w:rPr>
          <w:lang w:val="en-US"/>
        </w:rPr>
        <w:t>.</w:t>
      </w:r>
    </w:p>
    <w:p w14:paraId="74AD38C9" w14:textId="4693464D" w:rsidR="004E25ED" w:rsidRPr="002C143E" w:rsidRDefault="00E9788D" w:rsidP="000A5B0C">
      <w:pPr>
        <w:pStyle w:val="Titolo1"/>
        <w:numPr>
          <w:ilvl w:val="0"/>
          <w:numId w:val="29"/>
        </w:numPr>
        <w:jc w:val="both"/>
        <w:rPr>
          <w:b/>
          <w:bCs w:val="0"/>
          <w:lang w:val="en-US"/>
        </w:rPr>
      </w:pPr>
      <w:bookmarkStart w:id="28" w:name="_Toc201335626"/>
      <w:bookmarkStart w:id="29" w:name="_Toc201671064"/>
      <w:r w:rsidRPr="006B2F51">
        <w:rPr>
          <w:b/>
          <w:bCs w:val="0"/>
          <w:lang w:val="en-US"/>
        </w:rPr>
        <w:t>The procedure ruled by the EU Directive</w:t>
      </w:r>
      <w:bookmarkEnd w:id="28"/>
      <w:bookmarkEnd w:id="29"/>
    </w:p>
    <w:p w14:paraId="16271309" w14:textId="1EFEFFAE" w:rsidR="001F08F8" w:rsidRDefault="00AF4870" w:rsidP="000A5B0C">
      <w:pPr>
        <w:jc w:val="both"/>
      </w:pPr>
      <w:r w:rsidRPr="00AF4870">
        <w:t xml:space="preserve">The MAP procedure — which, as mentioned, must be uniformly transposed </w:t>
      </w:r>
      <w:r w:rsidR="009D5AFB">
        <w:t xml:space="preserve">into domestic law </w:t>
      </w:r>
      <w:r w:rsidRPr="00AF4870">
        <w:t>by all EU Member States — is structured as follows</w:t>
      </w:r>
      <w:r w:rsidR="00CF4B21">
        <w:t>.</w:t>
      </w:r>
    </w:p>
    <w:p w14:paraId="74120B92" w14:textId="77777777" w:rsidR="001F08F8" w:rsidRPr="001F08F8" w:rsidRDefault="001F08F8" w:rsidP="000A5B0C">
      <w:pPr>
        <w:pStyle w:val="Titolo2"/>
        <w:jc w:val="both"/>
        <w:rPr>
          <w:b/>
          <w:bCs/>
        </w:rPr>
      </w:pPr>
      <w:bookmarkStart w:id="30" w:name="_Toc201335627"/>
      <w:bookmarkStart w:id="31" w:name="_Toc201671065"/>
      <w:r w:rsidRPr="001F08F8">
        <w:rPr>
          <w:b/>
          <w:bCs/>
        </w:rPr>
        <w:t>5.1 Submission of the Request</w:t>
      </w:r>
      <w:bookmarkEnd w:id="30"/>
      <w:bookmarkEnd w:id="31"/>
    </w:p>
    <w:p w14:paraId="6FE8BE0A" w14:textId="4FC77576" w:rsidR="00070663" w:rsidRDefault="001F08F8" w:rsidP="004070F0">
      <w:pPr>
        <w:jc w:val="both"/>
      </w:pPr>
      <w:r w:rsidRPr="009C5AC8">
        <w:t xml:space="preserve">The first phase begins with the submission of an application for the initiation of the </w:t>
      </w:r>
      <w:r w:rsidR="00055E82">
        <w:t>MAP</w:t>
      </w:r>
      <w:r w:rsidRPr="009C5AC8">
        <w:t xml:space="preserve"> by the interested party </w:t>
      </w:r>
      <w:r w:rsidR="00011EEC" w:rsidRPr="009C5AC8">
        <w:t xml:space="preserve">to </w:t>
      </w:r>
      <w:r w:rsidR="00011EEC">
        <w:t>the</w:t>
      </w:r>
      <w:r w:rsidR="004070F0">
        <w:t xml:space="preserve"> </w:t>
      </w:r>
      <w:r w:rsidR="00F005D2">
        <w:t>CAs</w:t>
      </w:r>
      <w:r w:rsidR="004070F0">
        <w:t xml:space="preserve"> of each of the Member States concerned</w:t>
      </w:r>
      <w:r w:rsidRPr="009C5AC8">
        <w:t xml:space="preserve"> (as provided for in Article 3, paragraph 1, first sentence of the </w:t>
      </w:r>
      <w:r w:rsidR="00070663">
        <w:t xml:space="preserve">mentioned </w:t>
      </w:r>
      <w:r w:rsidR="00FC1959">
        <w:t>Directive</w:t>
      </w:r>
      <w:r w:rsidRPr="009C5AC8">
        <w:t xml:space="preserve">). </w:t>
      </w:r>
    </w:p>
    <w:p w14:paraId="7352CEEE" w14:textId="1A06CFC1" w:rsidR="001F08F8" w:rsidRPr="00F128F8" w:rsidRDefault="001F08F8" w:rsidP="000A5B0C">
      <w:pPr>
        <w:jc w:val="both"/>
      </w:pPr>
      <w:r w:rsidRPr="00F128F8">
        <w:t xml:space="preserve">This application must be submitted within </w:t>
      </w:r>
      <w:r w:rsidR="00EC3605">
        <w:t>three</w:t>
      </w:r>
      <w:r w:rsidRPr="00F128F8">
        <w:t xml:space="preserve"> years from the date on which the disputed tax issue arose.</w:t>
      </w:r>
      <w:r w:rsidRPr="00F128F8">
        <w:br/>
        <w:t xml:space="preserve">The initiation of the procedure is therefore entrusted to the taxpayer, who must submit the claim </w:t>
      </w:r>
      <w:r w:rsidR="00C6241B">
        <w:t xml:space="preserve">- </w:t>
      </w:r>
      <w:r>
        <w:t>c</w:t>
      </w:r>
      <w:r w:rsidRPr="00F128F8">
        <w:t xml:space="preserve">ontaining the same information </w:t>
      </w:r>
      <w:r w:rsidR="00C6241B">
        <w:t>-</w:t>
      </w:r>
      <w:r w:rsidRPr="00F128F8">
        <w:t xml:space="preserve"> to each of the authorities involved.</w:t>
      </w:r>
      <w:r>
        <w:t xml:space="preserve"> </w:t>
      </w:r>
    </w:p>
    <w:p w14:paraId="4AD97A12" w14:textId="77777777" w:rsidR="001F08F8" w:rsidRPr="001F08F8" w:rsidRDefault="001F08F8" w:rsidP="000A5B0C">
      <w:pPr>
        <w:pStyle w:val="Titolo2"/>
        <w:jc w:val="both"/>
        <w:rPr>
          <w:b/>
          <w:bCs/>
        </w:rPr>
      </w:pPr>
      <w:bookmarkStart w:id="32" w:name="_Toc201335628"/>
      <w:bookmarkStart w:id="33" w:name="_Toc201671066"/>
      <w:r w:rsidRPr="001F08F8">
        <w:rPr>
          <w:b/>
          <w:bCs/>
        </w:rPr>
        <w:t>5.2 The preliminary phase</w:t>
      </w:r>
      <w:bookmarkEnd w:id="32"/>
      <w:bookmarkEnd w:id="33"/>
    </w:p>
    <w:p w14:paraId="142CD6E3" w14:textId="5B03C5B8" w:rsidR="001F08F8" w:rsidRPr="00661460" w:rsidRDefault="001F08F8" w:rsidP="00417807">
      <w:pPr>
        <w:jc w:val="both"/>
      </w:pPr>
      <w:r w:rsidRPr="00661460">
        <w:t xml:space="preserve">Following the submission of the application, the investigation phase begins, governed by Article </w:t>
      </w:r>
      <w:r w:rsidR="00EB282E">
        <w:t>3, par. 4,</w:t>
      </w:r>
      <w:r w:rsidRPr="00661460">
        <w:t xml:space="preserve"> of the</w:t>
      </w:r>
      <w:r>
        <w:t xml:space="preserve"> </w:t>
      </w:r>
      <w:r w:rsidR="00EB282E">
        <w:t>Directive</w:t>
      </w:r>
      <w:r w:rsidRPr="00661460">
        <w:t>.</w:t>
      </w:r>
      <w:r>
        <w:t xml:space="preserve"> </w:t>
      </w:r>
      <w:r w:rsidRPr="00661460">
        <w:t xml:space="preserve">Under this phase, within three months from receipt of the application by the interested party, the </w:t>
      </w:r>
      <w:r w:rsidR="00247FFC">
        <w:t>CAs</w:t>
      </w:r>
      <w:r w:rsidRPr="00661460">
        <w:t xml:space="preserve"> may request additional information from the taxpayer; the taxpayer then has three months from the date of the request to respond to the authority.</w:t>
      </w:r>
      <w:r w:rsidR="00614A86">
        <w:t xml:space="preserve"> </w:t>
      </w:r>
      <w:r w:rsidRPr="00661460">
        <w:t xml:space="preserve">Within six months from receipt of the MAP request (or from receipt of the additional information), </w:t>
      </w:r>
      <w:r w:rsidR="00984287">
        <w:t>a</w:t>
      </w:r>
      <w:r w:rsidRPr="00661460">
        <w:t xml:space="preserve"> </w:t>
      </w:r>
      <w:r w:rsidR="00CF3FAC">
        <w:t>CA</w:t>
      </w:r>
      <w:r w:rsidRPr="00661460">
        <w:t xml:space="preserve"> may decide to resolve the case through a unilateral measure </w:t>
      </w:r>
      <w:r w:rsidR="00E0444B">
        <w:t>-</w:t>
      </w:r>
      <w:r w:rsidRPr="00661460">
        <w:t xml:space="preserve"> either by eliminating the double taxation or by granting a tax refund </w:t>
      </w:r>
      <w:r w:rsidR="00E0444B">
        <w:t>-</w:t>
      </w:r>
      <w:r w:rsidRPr="00661460">
        <w:t xml:space="preserve"> without involving the competent authorities of the other EU Member States. </w:t>
      </w:r>
      <w:r w:rsidR="006D256F" w:rsidRPr="006D256F">
        <w:t xml:space="preserve">In such a case, the </w:t>
      </w:r>
      <w:r w:rsidR="006D256F">
        <w:t>CA</w:t>
      </w:r>
      <w:r w:rsidR="006D256F" w:rsidRPr="006D256F">
        <w:t xml:space="preserve"> concerned shall promptly notify the affected person and the other </w:t>
      </w:r>
      <w:r w:rsidR="006D256F">
        <w:t>CAs</w:t>
      </w:r>
      <w:r w:rsidR="006D256F" w:rsidRPr="006D256F">
        <w:t xml:space="preserve"> of the Member States involved, upon which the proceedings under this Directive shall be terminated</w:t>
      </w:r>
    </w:p>
    <w:p w14:paraId="173C8DD8" w14:textId="77777777" w:rsidR="001F08F8" w:rsidRPr="001F08F8" w:rsidRDefault="001F08F8" w:rsidP="000A5B0C">
      <w:pPr>
        <w:pStyle w:val="Titolo2"/>
        <w:jc w:val="both"/>
        <w:rPr>
          <w:b/>
          <w:bCs/>
        </w:rPr>
      </w:pPr>
      <w:bookmarkStart w:id="34" w:name="_Toc201335629"/>
      <w:bookmarkStart w:id="35" w:name="_Toc201671067"/>
      <w:r w:rsidRPr="001F08F8">
        <w:rPr>
          <w:b/>
          <w:bCs/>
        </w:rPr>
        <w:t>5.3 Decision of the Competent Authority on the Request for Initiation</w:t>
      </w:r>
      <w:bookmarkEnd w:id="34"/>
      <w:bookmarkEnd w:id="35"/>
    </w:p>
    <w:p w14:paraId="091A66F9" w14:textId="43C0BC32" w:rsidR="001F08F8" w:rsidRDefault="00962C2E" w:rsidP="000A5B0C">
      <w:pPr>
        <w:jc w:val="both"/>
      </w:pPr>
      <w:r>
        <w:t>W</w:t>
      </w:r>
      <w:r w:rsidR="001F08F8" w:rsidRPr="007C0F4B">
        <w:t>ithin six months from receipt of the request, the competent authority must decide whether to accept or reject the application for the initiation of the MAP.</w:t>
      </w:r>
      <w:r w:rsidR="006D256F">
        <w:t xml:space="preserve"> </w:t>
      </w:r>
      <w:r w:rsidR="001F08F8" w:rsidRPr="007C0F4B">
        <w:t xml:space="preserve">It should be noted that the request is </w:t>
      </w:r>
      <w:r w:rsidR="001F08F8">
        <w:t>considere</w:t>
      </w:r>
      <w:r w:rsidR="001F08F8" w:rsidRPr="007C0F4B">
        <w:t xml:space="preserve">d accepted if </w:t>
      </w:r>
      <w:r w:rsidR="005242FF">
        <w:t>the CA</w:t>
      </w:r>
      <w:r w:rsidR="001F08F8" w:rsidRPr="007C0F4B">
        <w:t xml:space="preserve"> does not notify a formal </w:t>
      </w:r>
      <w:r w:rsidR="001F08F8">
        <w:t>response</w:t>
      </w:r>
      <w:r w:rsidR="001F08F8" w:rsidRPr="007C0F4B">
        <w:t xml:space="preserve"> within the prescribed period.</w:t>
      </w:r>
    </w:p>
    <w:p w14:paraId="03E95CE9" w14:textId="5697DD99" w:rsidR="006D7B70" w:rsidRPr="001F08F8" w:rsidRDefault="006D7B70" w:rsidP="006D7B70">
      <w:pPr>
        <w:pStyle w:val="Titolo2"/>
        <w:jc w:val="both"/>
        <w:rPr>
          <w:b/>
          <w:bCs/>
        </w:rPr>
      </w:pPr>
      <w:bookmarkStart w:id="36" w:name="_Toc201671068"/>
      <w:bookmarkStart w:id="37" w:name="_Toc201335630"/>
      <w:r w:rsidRPr="001F08F8">
        <w:rPr>
          <w:b/>
          <w:bCs/>
        </w:rPr>
        <w:t>5.</w:t>
      </w:r>
      <w:r w:rsidR="005B2B92">
        <w:rPr>
          <w:b/>
          <w:bCs/>
        </w:rPr>
        <w:t>4</w:t>
      </w:r>
      <w:r w:rsidRPr="001F08F8">
        <w:rPr>
          <w:b/>
          <w:bCs/>
        </w:rPr>
        <w:t xml:space="preserve"> Right to Appeal Against the Rejection</w:t>
      </w:r>
      <w:bookmarkEnd w:id="36"/>
    </w:p>
    <w:p w14:paraId="2A9DFAC3" w14:textId="13A4FC13" w:rsidR="006D7B70" w:rsidRDefault="006D7B70" w:rsidP="005C2E0B">
      <w:pPr>
        <w:jc w:val="both"/>
      </w:pPr>
      <w:r w:rsidRPr="00B8737D">
        <w:t xml:space="preserve">Pursuant to Article </w:t>
      </w:r>
      <w:r w:rsidR="0083629E" w:rsidRPr="00B8737D">
        <w:t xml:space="preserve">5, par. </w:t>
      </w:r>
      <w:r w:rsidR="005C2E0B" w:rsidRPr="00B8737D">
        <w:t>3,</w:t>
      </w:r>
      <w:r w:rsidRPr="00B8737D">
        <w:t xml:space="preserve"> of the </w:t>
      </w:r>
      <w:r w:rsidR="0083629E" w:rsidRPr="00B8737D">
        <w:t>Directive</w:t>
      </w:r>
      <w:r w:rsidRPr="00B8737D">
        <w:t xml:space="preserve">, the taxpayer may file a judicial appeal </w:t>
      </w:r>
      <w:r w:rsidR="005C2E0B">
        <w:t xml:space="preserve">against the decision of the </w:t>
      </w:r>
      <w:r w:rsidR="00F005D2">
        <w:t>CA</w:t>
      </w:r>
      <w:r w:rsidR="00FF3CE2">
        <w:t>s</w:t>
      </w:r>
      <w:r w:rsidR="005C2E0B">
        <w:t xml:space="preserve"> of the Member States concerned</w:t>
      </w:r>
      <w:r w:rsidR="00780507">
        <w:t>,</w:t>
      </w:r>
      <w:r w:rsidR="005C2E0B">
        <w:t xml:space="preserve"> </w:t>
      </w:r>
      <w:r w:rsidR="005C2E0B" w:rsidRPr="008A7B15">
        <w:t>in accordance with national rules where all competent authorities of the Member States concerned have rejected the complaint.</w:t>
      </w:r>
    </w:p>
    <w:p w14:paraId="71D1C2E5" w14:textId="1C6A09C7" w:rsidR="00365550" w:rsidRPr="000923A4" w:rsidRDefault="006D7B70" w:rsidP="000A5B0C">
      <w:pPr>
        <w:jc w:val="both"/>
      </w:pPr>
      <w:r w:rsidRPr="00313C48">
        <w:t>However, the law expressly provides for the alternative nature of this judicial remedy</w:t>
      </w:r>
      <w:r w:rsidRPr="002247FF">
        <w:t xml:space="preserve"> in relation to the possibility of requesting the establishment of an Advisory Commission, tasked with issuing an opinion on how the case should be resolved </w:t>
      </w:r>
      <w:r w:rsidR="00D61F3C" w:rsidRPr="00D61F3C">
        <w:t xml:space="preserve">— the aforementioned commission will be discussed </w:t>
      </w:r>
      <w:r w:rsidR="00EF458E" w:rsidRPr="00EF458E">
        <w:t>hereinafter</w:t>
      </w:r>
      <w:r w:rsidRPr="002247FF">
        <w:t>.</w:t>
      </w:r>
    </w:p>
    <w:p w14:paraId="54ED0738" w14:textId="464802AE" w:rsidR="001F08F8" w:rsidRPr="001F08F8" w:rsidRDefault="001F08F8" w:rsidP="000A5B0C">
      <w:pPr>
        <w:pStyle w:val="Titolo2"/>
        <w:jc w:val="both"/>
        <w:rPr>
          <w:b/>
          <w:bCs/>
        </w:rPr>
      </w:pPr>
      <w:bookmarkStart w:id="38" w:name="_Toc201671069"/>
      <w:r w:rsidRPr="001F08F8">
        <w:rPr>
          <w:b/>
          <w:bCs/>
        </w:rPr>
        <w:t>5.</w:t>
      </w:r>
      <w:r w:rsidR="005B2B92">
        <w:rPr>
          <w:b/>
          <w:bCs/>
        </w:rPr>
        <w:t>5</w:t>
      </w:r>
      <w:r w:rsidRPr="001F08F8">
        <w:rPr>
          <w:b/>
          <w:bCs/>
        </w:rPr>
        <w:t xml:space="preserve"> The Mutual Agreement Procedure</w:t>
      </w:r>
      <w:bookmarkEnd w:id="37"/>
      <w:bookmarkEnd w:id="38"/>
    </w:p>
    <w:p w14:paraId="243AC1FE" w14:textId="5343B46E" w:rsidR="001F08F8" w:rsidRPr="00684638" w:rsidRDefault="001F08F8" w:rsidP="00875A90">
      <w:pPr>
        <w:jc w:val="both"/>
      </w:pPr>
      <w:r w:rsidRPr="00C95CAD">
        <w:t xml:space="preserve">Article </w:t>
      </w:r>
      <w:r w:rsidR="005D26D0">
        <w:t>4</w:t>
      </w:r>
      <w:r w:rsidRPr="00C95CAD">
        <w:t xml:space="preserve"> governs the phase following the acceptance of the MAP request. In such cases, the mutual agreement procedure should lead to the resolution of the disputed issue within two years from the</w:t>
      </w:r>
      <w:r>
        <w:t xml:space="preserve"> </w:t>
      </w:r>
      <w:r w:rsidRPr="00C95CAD">
        <w:t>acceptance of the request by one of the Member States.</w:t>
      </w:r>
      <w:r>
        <w:t xml:space="preserve"> </w:t>
      </w:r>
      <w:r w:rsidRPr="00C95CAD">
        <w:t xml:space="preserve">This deadline may be extended by up to one year </w:t>
      </w:r>
      <w:r w:rsidR="00875A90">
        <w:t>at the request of a competent authority of a Member State concerned to all of the other competent authorities of the Member States concerned</w:t>
      </w:r>
      <w:r w:rsidRPr="00C95CAD">
        <w:t>, which may also request additional information from the taxpayer at any time.</w:t>
      </w:r>
    </w:p>
    <w:p w14:paraId="04569385" w14:textId="77777777" w:rsidR="001F08F8" w:rsidRPr="001F08F8" w:rsidRDefault="001F08F8" w:rsidP="000A5B0C">
      <w:pPr>
        <w:pStyle w:val="Titolo2"/>
        <w:jc w:val="both"/>
        <w:rPr>
          <w:b/>
          <w:bCs/>
        </w:rPr>
      </w:pPr>
      <w:bookmarkStart w:id="39" w:name="_Toc201335632"/>
      <w:bookmarkStart w:id="40" w:name="_Toc201671070"/>
      <w:r w:rsidRPr="001F08F8">
        <w:rPr>
          <w:b/>
          <w:bCs/>
        </w:rPr>
        <w:lastRenderedPageBreak/>
        <w:t>5.6 The Advisory Commission</w:t>
      </w:r>
      <w:bookmarkEnd w:id="39"/>
      <w:bookmarkEnd w:id="40"/>
    </w:p>
    <w:p w14:paraId="08660C64" w14:textId="67794E12" w:rsidR="001F08F8" w:rsidRDefault="001F08F8" w:rsidP="000A5B0C">
      <w:pPr>
        <w:jc w:val="both"/>
      </w:pPr>
      <w:r w:rsidRPr="001829E1">
        <w:t>A key feature of the EU Directive is the introduction of the taxpayer’s right to request, whenever the MAP does not result in an agreement, that the unresolved issue be referred to an Advisory Commission, which must issue a reasoned opinion in law on how the dispute should be resolved.</w:t>
      </w:r>
      <w:r>
        <w:t xml:space="preserve"> </w:t>
      </w:r>
      <w:r w:rsidRPr="001829E1">
        <w:t xml:space="preserve">More specifically, if no mutual agreement is reached by the authorities within two years of the MAP’s initiation, the taxpayer has a further </w:t>
      </w:r>
      <w:r w:rsidR="00E70DE5">
        <w:t>50</w:t>
      </w:r>
      <w:r w:rsidR="00E70DE5" w:rsidRPr="001829E1">
        <w:t xml:space="preserve"> </w:t>
      </w:r>
      <w:r w:rsidRPr="001829E1">
        <w:t xml:space="preserve">days to request that the authorities concerned establish the Advisory Commission. This body must, within </w:t>
      </w:r>
      <w:r w:rsidRPr="00F80F09">
        <w:t>six</w:t>
      </w:r>
      <w:r w:rsidRPr="001829E1">
        <w:t xml:space="preserve"> months of its establishment, deliver an opinion based on the relevant provisions of the applicable tax convention, outlining how the dispute should be resolved.</w:t>
      </w:r>
      <w:r>
        <w:t xml:space="preserve"> </w:t>
      </w:r>
      <w:r w:rsidRPr="001829E1">
        <w:t>Once the opinion has been issued, the competent authorities of the Member States concerned must either:</w:t>
      </w:r>
      <w:r>
        <w:t xml:space="preserve"> </w:t>
      </w:r>
    </w:p>
    <w:p w14:paraId="4DF61F36" w14:textId="77777777" w:rsidR="001F08F8" w:rsidRDefault="001F08F8" w:rsidP="000A5B0C">
      <w:pPr>
        <w:pStyle w:val="Paragrafoelenco"/>
        <w:numPr>
          <w:ilvl w:val="0"/>
          <w:numId w:val="35"/>
        </w:numPr>
        <w:spacing w:after="160" w:line="259" w:lineRule="auto"/>
        <w:ind w:left="567" w:hanging="567"/>
        <w:jc w:val="both"/>
      </w:pPr>
      <w:r w:rsidRPr="00975228">
        <w:t>reach a different agreement within six months (referred to as an “</w:t>
      </w:r>
      <w:r w:rsidRPr="00903FC3">
        <w:rPr>
          <w:i/>
          <w:iCs/>
        </w:rPr>
        <w:t>agreement on a different resolution</w:t>
      </w:r>
      <w:r w:rsidRPr="00975228">
        <w:t>”),</w:t>
      </w:r>
      <w:r>
        <w:t xml:space="preserve"> </w:t>
      </w:r>
      <w:r w:rsidRPr="00975228">
        <w:t>or</w:t>
      </w:r>
    </w:p>
    <w:p w14:paraId="76182E02" w14:textId="578C38CE" w:rsidR="001F08F8" w:rsidRPr="00975228" w:rsidRDefault="001F08F8" w:rsidP="000A5B0C">
      <w:pPr>
        <w:pStyle w:val="Paragrafoelenco"/>
        <w:numPr>
          <w:ilvl w:val="0"/>
          <w:numId w:val="35"/>
        </w:numPr>
        <w:spacing w:after="160" w:line="259" w:lineRule="auto"/>
        <w:ind w:left="567" w:hanging="567"/>
        <w:jc w:val="both"/>
      </w:pPr>
      <w:r w:rsidRPr="00975228">
        <w:t>failing that, the opinion may be enforced by the taxpayer within the respective national legal systems.</w:t>
      </w:r>
    </w:p>
    <w:p w14:paraId="0C60689D" w14:textId="77777777" w:rsidR="00903FC3" w:rsidRDefault="001F08F8" w:rsidP="000A5B0C">
      <w:pPr>
        <w:jc w:val="both"/>
      </w:pPr>
      <w:r w:rsidRPr="001829E1">
        <w:t>This mechanism effectively overcomes one of the most significant weaknesses of traditional bilateral tax dispute resolution instruments: the lack of a guaranteed outcome.</w:t>
      </w:r>
      <w:r>
        <w:t xml:space="preserve"> </w:t>
      </w:r>
    </w:p>
    <w:p w14:paraId="18AA094D" w14:textId="4D457C12" w:rsidR="001F08F8" w:rsidRPr="00AF3689" w:rsidRDefault="001F08F8" w:rsidP="000A5B0C">
      <w:pPr>
        <w:jc w:val="both"/>
      </w:pPr>
      <w:r w:rsidRPr="001829E1">
        <w:t>The Directive clearly marks progress in this area, primarily due to the introduction of this binding arbitration phase, which the taxpayer may activate whenever the authorities fail to reach an amicable solution.</w:t>
      </w:r>
    </w:p>
    <w:p w14:paraId="4E338B24" w14:textId="082D6DDF" w:rsidR="001F08F8" w:rsidRPr="00B04B93" w:rsidRDefault="005E2A4E" w:rsidP="000A5B0C">
      <w:pPr>
        <w:jc w:val="both"/>
      </w:pPr>
      <w:r>
        <w:t>The</w:t>
      </w:r>
      <w:r w:rsidR="001F08F8" w:rsidRPr="00D07D7B">
        <w:t xml:space="preserve"> Advisory Commission shall be established in the following cases:</w:t>
      </w:r>
    </w:p>
    <w:p w14:paraId="2A6DB873" w14:textId="586682F0" w:rsidR="001F08F8" w:rsidRDefault="001F08F8" w:rsidP="000A5B0C">
      <w:pPr>
        <w:pStyle w:val="Paragrafoelenco"/>
        <w:numPr>
          <w:ilvl w:val="0"/>
          <w:numId w:val="34"/>
        </w:numPr>
        <w:spacing w:after="160" w:line="259" w:lineRule="auto"/>
        <w:jc w:val="both"/>
      </w:pPr>
      <w:r w:rsidRPr="009A3ADF">
        <w:t xml:space="preserve">when the request to initiate the mutual agreement procedure has been rejected by at least one, but not all, of the competent authorities of the other Member States </w:t>
      </w:r>
      <w:r w:rsidR="00E70DE5">
        <w:t>involved</w:t>
      </w:r>
      <w:r>
        <w:t>;</w:t>
      </w:r>
    </w:p>
    <w:p w14:paraId="0275F75F" w14:textId="77777777" w:rsidR="001F08F8" w:rsidRPr="009A3ADF" w:rsidRDefault="001F08F8" w:rsidP="000A5B0C">
      <w:pPr>
        <w:pStyle w:val="Paragrafoelenco"/>
        <w:numPr>
          <w:ilvl w:val="0"/>
          <w:numId w:val="34"/>
        </w:numPr>
        <w:spacing w:after="160" w:line="259" w:lineRule="auto"/>
        <w:jc w:val="both"/>
      </w:pPr>
      <w:r w:rsidRPr="009A3ADF">
        <w:t>when the competent authorities of the Member States concerned have accepted the request to initiate the mutual agreement procedure but have failed to reach an agreement on how to resolve the disputed issue within the deadlines set by the procedure.</w:t>
      </w:r>
    </w:p>
    <w:p w14:paraId="688F8829" w14:textId="77777777" w:rsidR="002E6AC9" w:rsidRDefault="001F08F8" w:rsidP="000A5B0C">
      <w:pPr>
        <w:jc w:val="both"/>
      </w:pPr>
      <w:r w:rsidRPr="00D07D7B">
        <w:t>The taxpayer has 50 days from the communication of the rejection of the MAP request or the failure to reach an agreement to submit a written request for the establishment of the Advisory Commission to the Italian Revenue Agency (and to the competent authorities of the EU Member States concerned, in the case of large enterprises).</w:t>
      </w:r>
    </w:p>
    <w:p w14:paraId="57FE5E64" w14:textId="417C444B" w:rsidR="001F08F8" w:rsidRPr="00D07D7B" w:rsidRDefault="00771B29" w:rsidP="00300D71">
      <w:pPr>
        <w:jc w:val="both"/>
      </w:pPr>
      <w:r w:rsidRPr="00771B29">
        <w:t>If the Advisory Commission is not established, Member States shall provide that the affected person may apply to a competent court or to any other authority or individual designated under national law to perform such function (the national appointing body), in order to initiate the establishment of the Advisory Commission</w:t>
      </w:r>
      <w:r w:rsidR="001F08F8">
        <w:t>.</w:t>
      </w:r>
    </w:p>
    <w:p w14:paraId="54780336" w14:textId="18ABE9E7" w:rsidR="001F08F8" w:rsidRPr="001F08F8" w:rsidRDefault="001F08F8" w:rsidP="000A5B0C">
      <w:pPr>
        <w:pStyle w:val="Titolo3"/>
        <w:jc w:val="both"/>
      </w:pPr>
      <w:bookmarkStart w:id="41" w:name="_Toc201335633"/>
      <w:bookmarkStart w:id="42" w:name="_Toc201671071"/>
      <w:r w:rsidRPr="001F08F8">
        <w:t>5.6.1</w:t>
      </w:r>
      <w:r w:rsidRPr="001F08F8">
        <w:rPr>
          <w:rFonts w:ascii="Garamond,Bold" w:hAnsi="Garamond,Bold" w:cs="Garamond,Bold"/>
          <w:kern w:val="0"/>
          <w:sz w:val="28"/>
          <w:szCs w:val="28"/>
        </w:rPr>
        <w:t xml:space="preserve"> </w:t>
      </w:r>
      <w:r w:rsidRPr="001F08F8">
        <w:t>Dispute Resolution by the Advisory Commission</w:t>
      </w:r>
      <w:bookmarkEnd w:id="41"/>
      <w:bookmarkEnd w:id="42"/>
    </w:p>
    <w:p w14:paraId="1B200324" w14:textId="3F8C1126" w:rsidR="001F08F8" w:rsidRPr="00C13EB2" w:rsidRDefault="00603409" w:rsidP="000A5B0C">
      <w:pPr>
        <w:jc w:val="both"/>
      </w:pPr>
      <w:r>
        <w:t xml:space="preserve">As </w:t>
      </w:r>
      <w:r w:rsidR="004C7640">
        <w:t>previously indicated</w:t>
      </w:r>
      <w:r>
        <w:t>, th</w:t>
      </w:r>
      <w:r w:rsidR="00214067">
        <w:t>e</w:t>
      </w:r>
      <w:r w:rsidR="001F08F8" w:rsidRPr="00C13EB2">
        <w:t xml:space="preserve"> Advisory Commission shall rule on the admissibility of the request to initiate the MAP within six months of its establishment, notifying the parties of its decision within thirty days of its adoption.</w:t>
      </w:r>
    </w:p>
    <w:p w14:paraId="36252B5C" w14:textId="77777777" w:rsidR="001F08F8" w:rsidRPr="00C13EB2" w:rsidRDefault="001F08F8" w:rsidP="000A5B0C">
      <w:pPr>
        <w:jc w:val="both"/>
      </w:pPr>
      <w:r w:rsidRPr="00C13EB2">
        <w:t>If the Commission confirms that the legal conditions for initiating the MAP are met, and upon request by one of the competent authorities, the mutual agreement procedure is initiated. This entails a direct negotiation between the tax authorities involved, aimed at resolving the case of double taxation — typically through written exchanges of positions and, if necessary, the scheduling of negotiation meetings.</w:t>
      </w:r>
    </w:p>
    <w:p w14:paraId="4AFD3380" w14:textId="000E5C0E" w:rsidR="001F08F8" w:rsidRPr="009273A0" w:rsidRDefault="001F08F8" w:rsidP="000A5B0C">
      <w:pPr>
        <w:jc w:val="both"/>
      </w:pPr>
      <w:r w:rsidRPr="00C13EB2">
        <w:t>If an agreement is reached, it is communicated to the taxpayer and forwarded to the competent bodies for implementation.</w:t>
      </w:r>
      <w:r w:rsidR="00D35000" w:rsidRPr="00D35000">
        <w:t xml:space="preserve"> </w:t>
      </w:r>
      <w:r w:rsidR="00D35000">
        <w:t>As anticipated, the</w:t>
      </w:r>
      <w:r w:rsidR="00D35000" w:rsidRPr="00C13EB2">
        <w:t xml:space="preserve"> Advisory Commission shall rule on the admissibility of the request to initiate the MAP within six months of its establishment, notifying the parties of its decision within thirty days of its adoption.</w:t>
      </w:r>
    </w:p>
    <w:p w14:paraId="6EAD8F7D" w14:textId="77777777" w:rsidR="001F08F8" w:rsidRPr="00C13EB2" w:rsidRDefault="001F08F8" w:rsidP="000A5B0C">
      <w:pPr>
        <w:jc w:val="both"/>
      </w:pPr>
      <w:r w:rsidRPr="00C13EB2">
        <w:t xml:space="preserve">If none of the competent authorities requests the initiation of the MAP, the Advisory Commission shall, within </w:t>
      </w:r>
      <w:r w:rsidRPr="00F04DD2">
        <w:t>six</w:t>
      </w:r>
      <w:r w:rsidRPr="00C13EB2">
        <w:t xml:space="preserve"> months of its establishment, issue (by simple majority) a written opinion on how to resolve the disputed tax issue for the purposes of alternative dispute resolution. The opinion shall be based on the provisions of the relevant international agreements and conventions, as well as on any applicable domestic law provisions.</w:t>
      </w:r>
    </w:p>
    <w:p w14:paraId="13668E06" w14:textId="77777777" w:rsidR="001F08F8" w:rsidRPr="001F08F8" w:rsidRDefault="001F08F8" w:rsidP="000A5B0C">
      <w:pPr>
        <w:pStyle w:val="Titolo2"/>
        <w:jc w:val="both"/>
        <w:rPr>
          <w:b/>
          <w:bCs/>
        </w:rPr>
      </w:pPr>
      <w:bookmarkStart w:id="43" w:name="_Toc201335634"/>
      <w:bookmarkStart w:id="44" w:name="_Toc201671072"/>
      <w:r w:rsidRPr="001F08F8">
        <w:rPr>
          <w:b/>
          <w:bCs/>
        </w:rPr>
        <w:t>5.7 Commission for the Alternative Resolution of Disputes</w:t>
      </w:r>
      <w:bookmarkEnd w:id="43"/>
      <w:bookmarkEnd w:id="44"/>
    </w:p>
    <w:p w14:paraId="56DAA0B4" w14:textId="7037C0D7" w:rsidR="001F08F8" w:rsidRPr="0032072E" w:rsidRDefault="001F08F8" w:rsidP="00793166">
      <w:pPr>
        <w:jc w:val="both"/>
      </w:pPr>
      <w:r w:rsidRPr="0032072E">
        <w:t>As an alternative to the Advisory Commission, Article 1</w:t>
      </w:r>
      <w:r w:rsidR="00833891">
        <w:t xml:space="preserve">0 </w:t>
      </w:r>
      <w:r>
        <w:t xml:space="preserve">of the </w:t>
      </w:r>
      <w:r w:rsidR="00833891">
        <w:t>Directive</w:t>
      </w:r>
      <w:r w:rsidRPr="0032072E">
        <w:t xml:space="preserve"> provides for the possibility of establishing a Commission for the Alternative Resolution of Disputes, which may also take the form of a standing committee. This Commission, while still subject to principles of impartiality and independence, is governed by different rules in terms of its composition, structure, and methods of resolving the dispute. It may follow more flexible procedures than the “independent opinion” method used by the Advisory Commission. For instance, it may adopt the “final offer” arbitration procedure, issuing an opinion based on one of the proposals submitted by each of the competent </w:t>
      </w:r>
      <w:r w:rsidRPr="0032072E">
        <w:lastRenderedPageBreak/>
        <w:t>authorities involved, or it may apply other resolution techniques such as mediation, conciliation, expert advice, or any other method deemed useful and effective.</w:t>
      </w:r>
    </w:p>
    <w:p w14:paraId="1C540477" w14:textId="77777777" w:rsidR="001F08F8" w:rsidRPr="001F08F8" w:rsidRDefault="001F08F8" w:rsidP="000A5B0C">
      <w:pPr>
        <w:pStyle w:val="Titolo2"/>
        <w:jc w:val="both"/>
        <w:rPr>
          <w:b/>
          <w:bCs/>
        </w:rPr>
      </w:pPr>
      <w:bookmarkStart w:id="45" w:name="_Toc201335635"/>
      <w:bookmarkStart w:id="46" w:name="_Toc201671073"/>
      <w:r w:rsidRPr="001F08F8">
        <w:rPr>
          <w:b/>
          <w:bCs/>
        </w:rPr>
        <w:t>5.8 The Obligation to Achieve a Result</w:t>
      </w:r>
      <w:bookmarkEnd w:id="45"/>
      <w:bookmarkEnd w:id="46"/>
    </w:p>
    <w:p w14:paraId="5E3C125C" w14:textId="62089027" w:rsidR="001F08F8" w:rsidRPr="00593DA4" w:rsidRDefault="001F08F8" w:rsidP="000A5B0C">
      <w:pPr>
        <w:jc w:val="both"/>
      </w:pPr>
      <w:r w:rsidRPr="00593DA4">
        <w:t>Article 1</w:t>
      </w:r>
      <w:r w:rsidR="00BA6422">
        <w:t>4</w:t>
      </w:r>
      <w:r>
        <w:t xml:space="preserve"> of the</w:t>
      </w:r>
      <w:r w:rsidRPr="00593DA4">
        <w:t xml:space="preserve"> </w:t>
      </w:r>
      <w:r w:rsidR="00BA6422">
        <w:t>Directive</w:t>
      </w:r>
      <w:r>
        <w:t xml:space="preserve"> </w:t>
      </w:r>
      <w:r w:rsidRPr="00593DA4">
        <w:t xml:space="preserve">governs the decision of </w:t>
      </w:r>
      <w:r>
        <w:t>the CAs</w:t>
      </w:r>
      <w:r w:rsidRPr="00593DA4">
        <w:t xml:space="preserve"> following the issuance of an opinion by either the Advisory Commission or the Commission for the Alternative Resolution of Disputes.</w:t>
      </w:r>
      <w:r w:rsidR="003C4FDE">
        <w:t xml:space="preserve"> </w:t>
      </w:r>
      <w:r w:rsidRPr="00593DA4">
        <w:t xml:space="preserve">Within six months of the notification of the opinion, the </w:t>
      </w:r>
      <w:r>
        <w:t>C</w:t>
      </w:r>
      <w:r w:rsidR="006C7926">
        <w:t>A</w:t>
      </w:r>
      <w:r w:rsidR="00521224">
        <w:t xml:space="preserve">s </w:t>
      </w:r>
      <w:r w:rsidR="003C4FDE">
        <w:t>involved</w:t>
      </w:r>
      <w:r w:rsidRPr="00593DA4">
        <w:t xml:space="preserve"> must jointly adopt a decision on how to resolve the dispute. This decision may differ from the Commission's opinion, provided it effectively eliminates the double taxation.</w:t>
      </w:r>
      <w:r>
        <w:t xml:space="preserve"> </w:t>
      </w:r>
      <w:r w:rsidRPr="00593DA4">
        <w:t>In the absence of agreement, the Commission’s opinion becomes binding and must be implemented accordingly.</w:t>
      </w:r>
    </w:p>
    <w:p w14:paraId="4199380D" w14:textId="5E507EDC" w:rsidR="001F08F8" w:rsidRPr="00593DA4" w:rsidRDefault="001F08F8" w:rsidP="00B741AB">
      <w:pPr>
        <w:jc w:val="both"/>
      </w:pPr>
      <w:r w:rsidRPr="00593DA4">
        <w:t>The decision adopted by the administrative authorities involved “</w:t>
      </w:r>
      <w:r w:rsidR="001C75B4" w:rsidRPr="001C75B4">
        <w:t>shall not constitute a</w:t>
      </w:r>
      <w:r w:rsidR="001C75B4">
        <w:t xml:space="preserve"> </w:t>
      </w:r>
      <w:r w:rsidRPr="00593DA4">
        <w:t xml:space="preserve">precedent” and must be notified to the taxpayer within thirty days of its adoption. </w:t>
      </w:r>
      <w:r w:rsidR="00B741AB">
        <w:t>In the absence of such notification within 30 days of the decision having been taken, the affected person may appeal in its Member State of residence in accordance with the applicable national rules in order to obtain the final decision</w:t>
      </w:r>
      <w:r w:rsidRPr="00593DA4">
        <w:t>.</w:t>
      </w:r>
      <w:r w:rsidR="005E657D">
        <w:t xml:space="preserve"> </w:t>
      </w:r>
    </w:p>
    <w:p w14:paraId="2E082264" w14:textId="047CAA31" w:rsidR="001F08F8" w:rsidRPr="001F08F8" w:rsidRDefault="001F08F8" w:rsidP="000A5B0C">
      <w:pPr>
        <w:pStyle w:val="Titolo3"/>
        <w:jc w:val="both"/>
      </w:pPr>
      <w:bookmarkStart w:id="47" w:name="_Toc201335636"/>
      <w:bookmarkStart w:id="48" w:name="_Toc201671074"/>
      <w:r w:rsidRPr="001F08F8">
        <w:t>5.8.1 Implementing the Decisions</w:t>
      </w:r>
      <w:bookmarkEnd w:id="47"/>
      <w:bookmarkEnd w:id="48"/>
    </w:p>
    <w:p w14:paraId="751735DB" w14:textId="748F972C" w:rsidR="004E25ED" w:rsidRDefault="00817739" w:rsidP="000A5B0C">
      <w:pPr>
        <w:jc w:val="both"/>
        <w:rPr>
          <w:i/>
          <w:iCs/>
        </w:rPr>
      </w:pPr>
      <w:r>
        <w:t>According to</w:t>
      </w:r>
      <w:r w:rsidR="00514F8C">
        <w:t xml:space="preserve"> Article 15 of the Directive “</w:t>
      </w:r>
      <w:r w:rsidR="004354E4" w:rsidRPr="004E1C4C">
        <w:rPr>
          <w:i/>
          <w:iCs/>
        </w:rPr>
        <w:t xml:space="preserve">The final decision shall be binding on the Member States concerned and shall not constitute a precedent. The final decision shall be implemented subject to the affected person(s) accepting the final decision and renouncing the right to any domestic remedy within 60 days from the date when the final decision was notified, where applicable. Except where the relevant court or other judicial body of a Member State concerned decides according to its applicable national rules on remedies and applying the criteria under Article 8 that there was lack of independence, the final decision shall be implemented under the national law of the Member States concerned which as a result of the final </w:t>
      </w:r>
      <w:r w:rsidR="004E1C4C" w:rsidRPr="004E1C4C">
        <w:rPr>
          <w:i/>
          <w:iCs/>
        </w:rPr>
        <w:t>decision shall amend their taxation, irrespective of any time limits prescribed by the national law. Where the final decision has not been implemented, the affected person may apply to the competent court of the Member State that failed to implement the final decision, in order to enforce implementation thereof.”</w:t>
      </w:r>
      <w:r w:rsidR="001F08F8" w:rsidRPr="004E1C4C">
        <w:rPr>
          <w:i/>
          <w:iCs/>
        </w:rPr>
        <w:t xml:space="preserve"> </w:t>
      </w:r>
    </w:p>
    <w:p w14:paraId="11DB2113" w14:textId="77777777" w:rsidR="003F35E7" w:rsidRDefault="003F35E7" w:rsidP="000A5B0C">
      <w:pPr>
        <w:jc w:val="both"/>
        <w:rPr>
          <w:i/>
          <w:iCs/>
        </w:rPr>
      </w:pPr>
    </w:p>
    <w:p w14:paraId="5482D567" w14:textId="3BF6045B" w:rsidR="009D0EBD" w:rsidRPr="001F08F8" w:rsidRDefault="009D0EBD" w:rsidP="009D0EBD">
      <w:pPr>
        <w:pStyle w:val="Titolo2"/>
        <w:jc w:val="both"/>
        <w:rPr>
          <w:b/>
          <w:bCs/>
        </w:rPr>
      </w:pPr>
      <w:bookmarkStart w:id="49" w:name="_Toc201671075"/>
      <w:r w:rsidRPr="001F08F8">
        <w:rPr>
          <w:b/>
          <w:bCs/>
        </w:rPr>
        <w:t>5.</w:t>
      </w:r>
      <w:r>
        <w:rPr>
          <w:b/>
          <w:bCs/>
        </w:rPr>
        <w:t>9</w:t>
      </w:r>
      <w:r w:rsidRPr="001F08F8">
        <w:rPr>
          <w:b/>
          <w:bCs/>
        </w:rPr>
        <w:t xml:space="preserve"> </w:t>
      </w:r>
      <w:r w:rsidR="00806943">
        <w:rPr>
          <w:b/>
          <w:bCs/>
        </w:rPr>
        <w:t>Summary chart of the procedure</w:t>
      </w:r>
      <w:bookmarkEnd w:id="49"/>
    </w:p>
    <w:p w14:paraId="238CDCAE" w14:textId="6C9F434A" w:rsidR="009D0EBD" w:rsidRPr="00011EEC" w:rsidRDefault="00C636BD" w:rsidP="000A5B0C">
      <w:pPr>
        <w:jc w:val="both"/>
      </w:pPr>
      <w:r w:rsidRPr="00C636BD">
        <w:rPr>
          <w:noProof/>
        </w:rPr>
        <w:drawing>
          <wp:inline distT="0" distB="0" distL="0" distR="0" wp14:anchorId="6EA9C31E" wp14:editId="65B32E18">
            <wp:extent cx="5759450" cy="3504565"/>
            <wp:effectExtent l="0" t="0" r="0" b="635"/>
            <wp:docPr id="424494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3504565"/>
                    </a:xfrm>
                    <a:prstGeom prst="rect">
                      <a:avLst/>
                    </a:prstGeom>
                    <a:noFill/>
                    <a:ln>
                      <a:noFill/>
                    </a:ln>
                  </pic:spPr>
                </pic:pic>
              </a:graphicData>
            </a:graphic>
          </wp:inline>
        </w:drawing>
      </w:r>
    </w:p>
    <w:p w14:paraId="0955562F" w14:textId="77777777" w:rsidR="009D0EBD" w:rsidRPr="001F08F8" w:rsidRDefault="009D0EBD" w:rsidP="000A5B0C">
      <w:pPr>
        <w:jc w:val="both"/>
        <w:rPr>
          <w:lang w:val="en-US"/>
        </w:rPr>
      </w:pPr>
    </w:p>
    <w:p w14:paraId="2CC41F4B" w14:textId="550ABFDF" w:rsidR="00BA7312" w:rsidRPr="002C143E" w:rsidRDefault="00BA7312" w:rsidP="000A5B0C">
      <w:pPr>
        <w:pStyle w:val="Titolo1"/>
        <w:numPr>
          <w:ilvl w:val="0"/>
          <w:numId w:val="29"/>
        </w:numPr>
        <w:jc w:val="both"/>
        <w:rPr>
          <w:b/>
          <w:bCs w:val="0"/>
          <w:lang w:val="en-US"/>
        </w:rPr>
      </w:pPr>
      <w:bookmarkStart w:id="50" w:name="_Toc201335637"/>
      <w:bookmarkStart w:id="51" w:name="_Toc201671076"/>
      <w:r w:rsidRPr="006B2F51">
        <w:rPr>
          <w:b/>
          <w:bCs w:val="0"/>
          <w:lang w:val="en-US"/>
        </w:rPr>
        <w:lastRenderedPageBreak/>
        <w:t xml:space="preserve">The </w:t>
      </w:r>
      <w:r>
        <w:rPr>
          <w:b/>
          <w:bCs w:val="0"/>
          <w:lang w:val="en-US"/>
        </w:rPr>
        <w:t>question posed</w:t>
      </w:r>
      <w:bookmarkEnd w:id="50"/>
      <w:bookmarkEnd w:id="51"/>
    </w:p>
    <w:p w14:paraId="1A2C3398" w14:textId="670F7BE8" w:rsidR="00BA7312" w:rsidRDefault="00E20A0C" w:rsidP="000A5B0C">
      <w:pPr>
        <w:pStyle w:val="Titolo2"/>
        <w:jc w:val="both"/>
        <w:rPr>
          <w:lang w:val="en-US"/>
        </w:rPr>
      </w:pPr>
      <w:bookmarkStart w:id="52" w:name="_Toc201335638"/>
      <w:bookmarkStart w:id="53" w:name="_Toc201671077"/>
      <w:r w:rsidRPr="00E20A0C">
        <w:rPr>
          <w:b/>
          <w:bCs/>
          <w:lang w:val="en-US"/>
        </w:rPr>
        <w:t>6.1</w:t>
      </w:r>
      <w:r w:rsidRPr="00E20A0C">
        <w:rPr>
          <w:b/>
          <w:bCs/>
          <w:lang w:val="en-US"/>
        </w:rPr>
        <w:tab/>
      </w:r>
      <w:r w:rsidR="00203D4C">
        <w:rPr>
          <w:b/>
          <w:bCs/>
          <w:lang w:val="en-US"/>
        </w:rPr>
        <w:t>W</w:t>
      </w:r>
      <w:r w:rsidRPr="00E20A0C">
        <w:rPr>
          <w:b/>
          <w:bCs/>
          <w:lang w:val="en-US"/>
        </w:rPr>
        <w:t>hether Vimercati and Vimercati EE are entitled to file the MAP request</w:t>
      </w:r>
      <w:bookmarkEnd w:id="52"/>
      <w:bookmarkEnd w:id="53"/>
    </w:p>
    <w:p w14:paraId="1261DC25" w14:textId="77777777" w:rsidR="00CC3CA1" w:rsidRPr="00CC3CA1" w:rsidRDefault="00CC3CA1" w:rsidP="000A5B0C">
      <w:pPr>
        <w:jc w:val="both"/>
        <w:rPr>
          <w:lang w:val="en-US"/>
        </w:rPr>
      </w:pPr>
      <w:r w:rsidRPr="00CC3CA1">
        <w:rPr>
          <w:lang w:val="en-US"/>
        </w:rPr>
        <w:t>According to article 1 of the Directive “</w:t>
      </w:r>
      <w:r w:rsidRPr="00434046">
        <w:rPr>
          <w:i/>
          <w:iCs/>
          <w:lang w:val="en-US"/>
        </w:rPr>
        <w:t>This Directive lays down rules on a mechanism to resolve disputes between Member States when those disputes arise from the interpretation and application of agreements and conventions that provide for the elimination of double taxation of income and, where applicable, capital. It also lays down the rights and obligations of the affected persons when such disputes arise. For the purposes of this Directive, the matter giving rise to such disputes is referred to as a ‘question in dispute</w:t>
      </w:r>
      <w:r w:rsidRPr="00CC3CA1">
        <w:rPr>
          <w:lang w:val="en-US"/>
        </w:rPr>
        <w:t>”.</w:t>
      </w:r>
    </w:p>
    <w:p w14:paraId="4F473ED9" w14:textId="77E233A3" w:rsidR="00CC3CA1" w:rsidRPr="00CC3CA1" w:rsidRDefault="00CC3CA1" w:rsidP="000A5B0C">
      <w:pPr>
        <w:jc w:val="both"/>
        <w:rPr>
          <w:lang w:val="en-US"/>
        </w:rPr>
      </w:pPr>
      <w:r w:rsidRPr="00CC3CA1">
        <w:rPr>
          <w:lang w:val="en-US"/>
        </w:rPr>
        <w:t>According to article 2 of the Directive “</w:t>
      </w:r>
      <w:r w:rsidRPr="008057AE">
        <w:rPr>
          <w:i/>
          <w:iCs/>
          <w:lang w:val="en-US"/>
        </w:rPr>
        <w:t>affected</w:t>
      </w:r>
      <w:r w:rsidRPr="00CC3CA1">
        <w:rPr>
          <w:lang w:val="en-US"/>
        </w:rPr>
        <w:t xml:space="preserve"> </w:t>
      </w:r>
      <w:r w:rsidRPr="008057AE">
        <w:rPr>
          <w:i/>
          <w:iCs/>
          <w:lang w:val="en-US"/>
        </w:rPr>
        <w:t>person</w:t>
      </w:r>
      <w:r w:rsidR="008057AE">
        <w:rPr>
          <w:i/>
          <w:iCs/>
          <w:lang w:val="en-US"/>
        </w:rPr>
        <w:t>”</w:t>
      </w:r>
      <w:r w:rsidRPr="00CC3CA1">
        <w:rPr>
          <w:lang w:val="en-US"/>
        </w:rPr>
        <w:t xml:space="preserve"> means any person, including an individual, that is a resident of a Member State for tax purposes, and whose taxation is directly affected by a question in dispute”.</w:t>
      </w:r>
    </w:p>
    <w:p w14:paraId="7B42E8A4" w14:textId="77777777" w:rsidR="00CC3CA1" w:rsidRPr="00CC3CA1" w:rsidRDefault="00CC3CA1" w:rsidP="000A5B0C">
      <w:pPr>
        <w:jc w:val="both"/>
        <w:rPr>
          <w:lang w:val="en-US"/>
        </w:rPr>
      </w:pPr>
      <w:r w:rsidRPr="00CC3CA1">
        <w:rPr>
          <w:lang w:val="en-US"/>
        </w:rPr>
        <w:t>According to article 3 of the Directive “</w:t>
      </w:r>
      <w:r w:rsidRPr="00134F57">
        <w:rPr>
          <w:i/>
          <w:iCs/>
          <w:lang w:val="en-US"/>
        </w:rPr>
        <w:t>Any affected person shall be entitled to submit a complaint on a question in dispute to each of the competent authorities of each of the Member States concerned, requesting the resolution thereof</w:t>
      </w:r>
      <w:r w:rsidRPr="00CC3CA1">
        <w:rPr>
          <w:lang w:val="en-US"/>
        </w:rPr>
        <w:t>”.</w:t>
      </w:r>
    </w:p>
    <w:p w14:paraId="50E3C54D" w14:textId="77777777" w:rsidR="00CC3CA1" w:rsidRPr="00CC3CA1" w:rsidRDefault="00CC3CA1" w:rsidP="000A5B0C">
      <w:pPr>
        <w:jc w:val="both"/>
        <w:rPr>
          <w:lang w:val="en-US"/>
        </w:rPr>
      </w:pPr>
      <w:r w:rsidRPr="00CC3CA1">
        <w:rPr>
          <w:lang w:val="en-US"/>
        </w:rPr>
        <w:t>Vimercati is a company incorporated under the Italian legislation and, to the best of our knowledge, is tax resident in Italy and it is not considered, according to a domestic law of a third country or according to a double tax treaty signed by Italy with a third country, considered tax resident in a third country jurisdiction.</w:t>
      </w:r>
    </w:p>
    <w:p w14:paraId="4D150033" w14:textId="77777777" w:rsidR="00CC3CA1" w:rsidRPr="00CC3CA1" w:rsidRDefault="00CC3CA1" w:rsidP="000A5B0C">
      <w:pPr>
        <w:jc w:val="both"/>
        <w:rPr>
          <w:lang w:val="en-US"/>
        </w:rPr>
      </w:pPr>
      <w:r w:rsidRPr="00CC3CA1">
        <w:rPr>
          <w:lang w:val="en-US"/>
        </w:rPr>
        <w:t>Vimercati, consequently, is an affected person.</w:t>
      </w:r>
    </w:p>
    <w:p w14:paraId="39B58D94" w14:textId="77777777" w:rsidR="00CC3CA1" w:rsidRPr="00CC3CA1" w:rsidRDefault="00CC3CA1" w:rsidP="000A5B0C">
      <w:pPr>
        <w:jc w:val="both"/>
        <w:rPr>
          <w:lang w:val="en-US"/>
        </w:rPr>
      </w:pPr>
      <w:r w:rsidRPr="00CC3CA1">
        <w:rPr>
          <w:lang w:val="en-US"/>
        </w:rPr>
        <w:t>Vimercati EE is a company incorporated under the Romanian legislation and, to the best of our knowledge, is tax resident in Romania and it is not considered, according to a domestic law of a third country or according to a double tax treaty signed by Romania with a third country, considered tax resident in a third country jurisdiction.</w:t>
      </w:r>
    </w:p>
    <w:p w14:paraId="287DC479" w14:textId="3CAD5A09" w:rsidR="006C7926" w:rsidRDefault="006C7926" w:rsidP="000A5B0C">
      <w:pPr>
        <w:jc w:val="both"/>
      </w:pPr>
      <w:r w:rsidRPr="006C7926">
        <w:t>Vimercati EE, consequently, is an affected person.</w:t>
      </w:r>
    </w:p>
    <w:p w14:paraId="03334DB3" w14:textId="19287521" w:rsidR="00A65365" w:rsidRPr="00170E57" w:rsidRDefault="006C7926" w:rsidP="000A5B0C">
      <w:pPr>
        <w:jc w:val="both"/>
      </w:pPr>
      <w:r>
        <w:t>Further, as already reported in previous paragraph 1</w:t>
      </w:r>
      <w:r w:rsidR="00FB3601">
        <w:t xml:space="preserve"> and subsequent paragraph 6.2.2</w:t>
      </w:r>
      <w:r>
        <w:t>, t</w:t>
      </w:r>
      <w:r w:rsidR="0057579D" w:rsidRPr="00170E57">
        <w:t xml:space="preserve">here is </w:t>
      </w:r>
      <w:r w:rsidR="00170E57">
        <w:t>a</w:t>
      </w:r>
      <w:r w:rsidR="00170E57" w:rsidRPr="00170E57">
        <w:t xml:space="preserve"> question in dispute in accordance with Article </w:t>
      </w:r>
      <w:r w:rsidR="00170E57">
        <w:t>9</w:t>
      </w:r>
      <w:r w:rsidR="00CD1A16">
        <w:t xml:space="preserve"> of the </w:t>
      </w:r>
      <w:r>
        <w:t>Double tax treaty between Italy and Romania</w:t>
      </w:r>
      <w:r w:rsidR="00CD1A16">
        <w:t>.</w:t>
      </w:r>
    </w:p>
    <w:p w14:paraId="3398227C" w14:textId="14ED2B64" w:rsidR="00CC3CA1" w:rsidRPr="00CC3CA1" w:rsidRDefault="00CC3CA1" w:rsidP="000A5B0C">
      <w:pPr>
        <w:jc w:val="both"/>
        <w:rPr>
          <w:lang w:val="en-US"/>
        </w:rPr>
      </w:pPr>
      <w:r w:rsidRPr="00CC3CA1">
        <w:rPr>
          <w:lang w:val="en-US"/>
        </w:rPr>
        <w:t>We can</w:t>
      </w:r>
      <w:r w:rsidR="006C7926">
        <w:rPr>
          <w:lang w:val="en-US"/>
        </w:rPr>
        <w:t>, therefore,</w:t>
      </w:r>
      <w:r w:rsidRPr="00CC3CA1">
        <w:rPr>
          <w:lang w:val="en-US"/>
        </w:rPr>
        <w:t xml:space="preserve"> reply to the first question posed that Vimercati and Vimercati EE are entitled to file the MAP request.</w:t>
      </w:r>
    </w:p>
    <w:p w14:paraId="62CCF074" w14:textId="3577CB78" w:rsidR="00CB7F46" w:rsidRPr="00DF6AED" w:rsidRDefault="00DF6AED" w:rsidP="000A5B0C">
      <w:pPr>
        <w:pStyle w:val="Titolo2"/>
        <w:jc w:val="both"/>
        <w:rPr>
          <w:b/>
          <w:bCs/>
          <w:lang w:val="en-US"/>
        </w:rPr>
      </w:pPr>
      <w:bookmarkStart w:id="54" w:name="_Toc201335639"/>
      <w:bookmarkStart w:id="55" w:name="_Toc201671078"/>
      <w:r>
        <w:rPr>
          <w:b/>
          <w:bCs/>
          <w:lang w:val="en-US"/>
        </w:rPr>
        <w:t xml:space="preserve">6.2 </w:t>
      </w:r>
      <w:r w:rsidR="00CB7F46" w:rsidRPr="00DF6AED">
        <w:rPr>
          <w:b/>
          <w:bCs/>
          <w:lang w:val="en-US"/>
        </w:rPr>
        <w:t>whether the request can be refused by the Italian and/or Romanian competent authorities</w:t>
      </w:r>
      <w:bookmarkEnd w:id="54"/>
      <w:bookmarkEnd w:id="55"/>
    </w:p>
    <w:p w14:paraId="452E35F1" w14:textId="77777777" w:rsidR="007814F2" w:rsidRPr="007814F2" w:rsidRDefault="007814F2" w:rsidP="000A5B0C">
      <w:pPr>
        <w:jc w:val="both"/>
        <w:rPr>
          <w:lang w:val="en-US"/>
        </w:rPr>
      </w:pPr>
      <w:r w:rsidRPr="007814F2">
        <w:rPr>
          <w:lang w:val="en-US"/>
        </w:rPr>
        <w:t>According to article 3(5) of the Directive “</w:t>
      </w:r>
      <w:r w:rsidRPr="00134F57">
        <w:rPr>
          <w:i/>
          <w:iCs/>
          <w:lang w:val="en-US"/>
        </w:rPr>
        <w:t>The competent authorities of each of the Member States concerned shall take a decision on the acceptance or rejection of the complaint within 6 months of the receipt thereof or within 6 months of the receipt of the information referred to in point (f) of paragraph 3, whichever is later. The competent authorities shall inform the affected person and the competent authorities of the other Member States of their decision without delay</w:t>
      </w:r>
      <w:r w:rsidRPr="007814F2">
        <w:rPr>
          <w:lang w:val="en-US"/>
        </w:rPr>
        <w:t>”.</w:t>
      </w:r>
    </w:p>
    <w:p w14:paraId="18D82A9B" w14:textId="3FCFB671" w:rsidR="007814F2" w:rsidRPr="002B7CF5" w:rsidRDefault="007814F2" w:rsidP="000A5B0C">
      <w:pPr>
        <w:jc w:val="both"/>
        <w:rPr>
          <w:i/>
          <w:iCs/>
          <w:lang w:val="en-US"/>
        </w:rPr>
      </w:pPr>
      <w:r w:rsidRPr="007814F2">
        <w:rPr>
          <w:lang w:val="en-US"/>
        </w:rPr>
        <w:t>According to article 5 of the Directive “</w:t>
      </w:r>
      <w:r w:rsidRPr="002B7CF5">
        <w:rPr>
          <w:i/>
          <w:iCs/>
          <w:lang w:val="en-US"/>
        </w:rPr>
        <w:t>The competent authority of a Member State concerned may decide to reject a complaint within the period provided for in Article 3(5) if:</w:t>
      </w:r>
    </w:p>
    <w:p w14:paraId="3D3A8B82" w14:textId="1F29BA71" w:rsidR="007814F2" w:rsidRPr="002B7CF5" w:rsidRDefault="007814F2" w:rsidP="00056C12">
      <w:pPr>
        <w:ind w:left="142"/>
        <w:jc w:val="both"/>
        <w:rPr>
          <w:i/>
          <w:iCs/>
          <w:lang w:val="en-US"/>
        </w:rPr>
      </w:pPr>
      <w:r w:rsidRPr="002B7CF5">
        <w:rPr>
          <w:i/>
          <w:iCs/>
          <w:lang w:val="en-US"/>
        </w:rPr>
        <w:t xml:space="preserve">(a) the complaint lacks information required under Article 3(3) (including any information requested under </w:t>
      </w:r>
      <w:r w:rsidR="00056C12" w:rsidRPr="002B7CF5">
        <w:rPr>
          <w:i/>
          <w:iCs/>
          <w:lang w:val="en-US"/>
        </w:rPr>
        <w:t xml:space="preserve"> </w:t>
      </w:r>
      <w:r w:rsidRPr="002B7CF5">
        <w:rPr>
          <w:i/>
          <w:iCs/>
          <w:lang w:val="en-US"/>
        </w:rPr>
        <w:t xml:space="preserve">Article 3(3)(f) that was not submitted within the deadline specified in Article 3(4)); </w:t>
      </w:r>
    </w:p>
    <w:p w14:paraId="0A06D03F" w14:textId="77777777" w:rsidR="007814F2" w:rsidRPr="002B7CF5" w:rsidRDefault="007814F2" w:rsidP="00056C12">
      <w:pPr>
        <w:ind w:left="142"/>
        <w:jc w:val="both"/>
        <w:rPr>
          <w:i/>
          <w:iCs/>
          <w:lang w:val="en-US"/>
        </w:rPr>
      </w:pPr>
      <w:r w:rsidRPr="002B7CF5">
        <w:rPr>
          <w:i/>
          <w:iCs/>
          <w:lang w:val="en-US"/>
        </w:rPr>
        <w:t xml:space="preserve">(b) there is no question in dispute; or </w:t>
      </w:r>
    </w:p>
    <w:p w14:paraId="426FC872" w14:textId="77777777" w:rsidR="007814F2" w:rsidRPr="002B7CF5" w:rsidRDefault="007814F2" w:rsidP="00056C12">
      <w:pPr>
        <w:ind w:left="142"/>
        <w:jc w:val="both"/>
        <w:rPr>
          <w:i/>
          <w:iCs/>
          <w:lang w:val="en-US"/>
        </w:rPr>
      </w:pPr>
      <w:r w:rsidRPr="002B7CF5">
        <w:rPr>
          <w:i/>
          <w:iCs/>
          <w:lang w:val="en-US"/>
        </w:rPr>
        <w:t xml:space="preserve">(c) the complaint was not submitted within the 3-year period set out in Article 3(1). </w:t>
      </w:r>
    </w:p>
    <w:p w14:paraId="556982CC" w14:textId="77777777" w:rsidR="007814F2" w:rsidRPr="007814F2" w:rsidRDefault="007814F2" w:rsidP="000A5B0C">
      <w:pPr>
        <w:jc w:val="both"/>
        <w:rPr>
          <w:lang w:val="en-US"/>
        </w:rPr>
      </w:pPr>
      <w:r w:rsidRPr="002B7CF5">
        <w:rPr>
          <w:i/>
          <w:iCs/>
          <w:lang w:val="en-US"/>
        </w:rPr>
        <w:t>When informing the affected person in accordance with the provisions of Article 3(5), the competent authority shall provide the general reasons for its rejection</w:t>
      </w:r>
      <w:r w:rsidRPr="007814F2">
        <w:rPr>
          <w:lang w:val="en-US"/>
        </w:rPr>
        <w:t>”.</w:t>
      </w:r>
    </w:p>
    <w:p w14:paraId="5FCF5FC2" w14:textId="7F00BD7B" w:rsidR="007814F2" w:rsidRPr="007814F2" w:rsidRDefault="007814F2" w:rsidP="000A5B0C">
      <w:pPr>
        <w:jc w:val="both"/>
        <w:rPr>
          <w:lang w:val="en-US"/>
        </w:rPr>
      </w:pPr>
      <w:r w:rsidRPr="007814F2">
        <w:rPr>
          <w:lang w:val="en-US"/>
        </w:rPr>
        <w:t>We examine here after each single hypothesis identified by the Directive to understand whether the Italian and/or the Romanian competent authority could reject the compliant.</w:t>
      </w:r>
    </w:p>
    <w:p w14:paraId="667E4607" w14:textId="6315BA52" w:rsidR="007814F2" w:rsidRPr="007814F2" w:rsidRDefault="001F08F8" w:rsidP="00641D71">
      <w:pPr>
        <w:pStyle w:val="Titolo3"/>
        <w:jc w:val="both"/>
        <w:rPr>
          <w:lang w:val="en-US"/>
        </w:rPr>
      </w:pPr>
      <w:bookmarkStart w:id="56" w:name="_Toc201335640"/>
      <w:bookmarkStart w:id="57" w:name="_Toc201671079"/>
      <w:r>
        <w:rPr>
          <w:lang w:val="en-US"/>
        </w:rPr>
        <w:lastRenderedPageBreak/>
        <w:t>6.2.1</w:t>
      </w:r>
      <w:r w:rsidR="007814F2" w:rsidRPr="007814F2">
        <w:rPr>
          <w:lang w:val="en-US"/>
        </w:rPr>
        <w:t xml:space="preserve"> the complaint lacks information required under Article 3(3) (including any information requested under</w:t>
      </w:r>
      <w:r w:rsidR="00641D71">
        <w:rPr>
          <w:lang w:val="en-US"/>
        </w:rPr>
        <w:t xml:space="preserve"> </w:t>
      </w:r>
      <w:r w:rsidR="007814F2" w:rsidRPr="007814F2">
        <w:rPr>
          <w:lang w:val="en-US"/>
        </w:rPr>
        <w:t>Article 3(3)(f) that was not submitted within the deadline specified in Article 3(4))</w:t>
      </w:r>
      <w:r w:rsidR="00641D71">
        <w:rPr>
          <w:lang w:val="en-US"/>
        </w:rPr>
        <w:t>.</w:t>
      </w:r>
      <w:bookmarkEnd w:id="56"/>
      <w:bookmarkEnd w:id="57"/>
    </w:p>
    <w:p w14:paraId="15515EBA" w14:textId="77777777" w:rsidR="007814F2" w:rsidRPr="007814F2" w:rsidRDefault="007814F2" w:rsidP="000A5B0C">
      <w:pPr>
        <w:jc w:val="both"/>
        <w:rPr>
          <w:lang w:val="en-US"/>
        </w:rPr>
      </w:pPr>
      <w:r w:rsidRPr="007814F2">
        <w:rPr>
          <w:lang w:val="en-US"/>
        </w:rPr>
        <w:t>This question involves the completeness of the filing request. The content of the filing request is clearly indicated in article 3(3). Provided that the filing request contains all the information requested, we see no possibility for the Italian and/or the Romanian competent authority to reject the compliant.</w:t>
      </w:r>
    </w:p>
    <w:p w14:paraId="6F0F3CBA" w14:textId="12637CC4" w:rsidR="007814F2" w:rsidRPr="007814F2" w:rsidRDefault="001F08F8" w:rsidP="000A5B0C">
      <w:pPr>
        <w:pStyle w:val="Titolo3"/>
        <w:jc w:val="both"/>
        <w:rPr>
          <w:lang w:val="en-US"/>
        </w:rPr>
      </w:pPr>
      <w:bookmarkStart w:id="58" w:name="_Toc201335641"/>
      <w:bookmarkStart w:id="59" w:name="_Toc201671080"/>
      <w:r>
        <w:rPr>
          <w:lang w:val="en-US"/>
        </w:rPr>
        <w:t>6.2.2</w:t>
      </w:r>
      <w:r w:rsidR="007814F2" w:rsidRPr="007814F2">
        <w:rPr>
          <w:lang w:val="en-US"/>
        </w:rPr>
        <w:t xml:space="preserve"> there is no question in dispute</w:t>
      </w:r>
      <w:bookmarkEnd w:id="58"/>
      <w:bookmarkEnd w:id="59"/>
    </w:p>
    <w:p w14:paraId="3699AD92" w14:textId="77777777" w:rsidR="007814F2" w:rsidRPr="007814F2" w:rsidRDefault="007814F2" w:rsidP="000A5B0C">
      <w:pPr>
        <w:jc w:val="both"/>
        <w:rPr>
          <w:lang w:val="en-US"/>
        </w:rPr>
      </w:pPr>
      <w:r w:rsidRPr="007814F2">
        <w:rPr>
          <w:lang w:val="en-US"/>
        </w:rPr>
        <w:t>As previously reported, the matter giving rise to disputes that arise from the interpretation and application of agreements and conventions that provide for the elimination of double taxation of income is defined as the question in dispute.</w:t>
      </w:r>
    </w:p>
    <w:p w14:paraId="40A49993" w14:textId="77777777" w:rsidR="007814F2" w:rsidRPr="007814F2" w:rsidRDefault="007814F2" w:rsidP="000A5B0C">
      <w:pPr>
        <w:jc w:val="both"/>
        <w:rPr>
          <w:lang w:val="en-US"/>
        </w:rPr>
      </w:pPr>
      <w:r w:rsidRPr="007814F2">
        <w:rPr>
          <w:lang w:val="en-US"/>
        </w:rPr>
        <w:t>The case is a transfer pricing case, as assessed by the tax auditors, is a question in dispute, according to the domestic provision (art. 110(7)) that mirrors the article 9 of the Double Tax Treaty between Italy and Romania.</w:t>
      </w:r>
    </w:p>
    <w:p w14:paraId="05A46696" w14:textId="77777777" w:rsidR="007814F2" w:rsidRPr="007814F2" w:rsidRDefault="007814F2" w:rsidP="000A5B0C">
      <w:pPr>
        <w:jc w:val="both"/>
        <w:rPr>
          <w:lang w:val="en-US"/>
        </w:rPr>
      </w:pPr>
      <w:r w:rsidRPr="007814F2">
        <w:rPr>
          <w:lang w:val="en-US"/>
        </w:rPr>
        <w:t>In this paragraph, we would like to consider also a peculiarity of Italian legislation. It is not a matter of absence of a question in dispute but a matter of not possibility, for the Italian CA, to amend the tax settlement (“</w:t>
      </w:r>
      <w:r w:rsidRPr="00641D71">
        <w:rPr>
          <w:i/>
          <w:iCs/>
          <w:lang w:val="en-US"/>
        </w:rPr>
        <w:t>accertamento con adesione</w:t>
      </w:r>
      <w:r w:rsidRPr="007814F2">
        <w:rPr>
          <w:lang w:val="en-US"/>
        </w:rPr>
        <w:t>”).</w:t>
      </w:r>
    </w:p>
    <w:p w14:paraId="0F00353A" w14:textId="5399BE05" w:rsidR="007814F2" w:rsidRPr="007814F2" w:rsidRDefault="007814F2" w:rsidP="000A5B0C">
      <w:pPr>
        <w:jc w:val="both"/>
        <w:rPr>
          <w:lang w:val="en-US"/>
        </w:rPr>
      </w:pPr>
      <w:r w:rsidRPr="007814F2">
        <w:rPr>
          <w:lang w:val="en-US"/>
        </w:rPr>
        <w:t>In case the DTA between Italy and Romania or the EU Arbitration Convention are applied, according to Italian domestic law, the Italian competent authority cannot amend the audit settlement (“</w:t>
      </w:r>
      <w:r w:rsidRPr="00641D71">
        <w:rPr>
          <w:i/>
          <w:iCs/>
          <w:lang w:val="en-US"/>
        </w:rPr>
        <w:t>accertamento con adesione</w:t>
      </w:r>
      <w:r w:rsidRPr="007814F2">
        <w:rPr>
          <w:lang w:val="en-US"/>
        </w:rPr>
        <w:t>”) signed between an Italian taxpayer and the Italian tax authority. In other words, the case can be dealt with in MAP; notwithstanding this, the discussions cannot be aimed at revising the tax settled through these processes; Italian CA will only present such a case to the other competent authority to seek correlative relief.</w:t>
      </w:r>
    </w:p>
    <w:p w14:paraId="1606B668" w14:textId="77777777" w:rsidR="007814F2" w:rsidRPr="007814F2" w:rsidRDefault="007814F2" w:rsidP="000A5B0C">
      <w:pPr>
        <w:jc w:val="both"/>
        <w:rPr>
          <w:lang w:val="en-US"/>
        </w:rPr>
      </w:pPr>
      <w:r w:rsidRPr="007814F2">
        <w:rPr>
          <w:lang w:val="en-US"/>
        </w:rPr>
        <w:t>The case, as already explained before, is managed differently in Legislative Decree No. 49 of 10 June 2020 that implemented the EU Directive 2017/1852 into the Italian law. In this case, it is clearly stated that the case can be submitted within the MAP procedure, the Italian CA can negotiate the case and, at the end of the discussions, can revise the tax settled.</w:t>
      </w:r>
    </w:p>
    <w:p w14:paraId="1A90806F" w14:textId="70750E27" w:rsidR="007814F2" w:rsidRPr="007814F2" w:rsidRDefault="007814F2" w:rsidP="000A5B0C">
      <w:pPr>
        <w:jc w:val="both"/>
        <w:rPr>
          <w:lang w:val="en-US"/>
        </w:rPr>
      </w:pPr>
      <w:r w:rsidRPr="007814F2">
        <w:rPr>
          <w:lang w:val="en-US"/>
        </w:rPr>
        <w:t xml:space="preserve">Consequently, there is </w:t>
      </w:r>
      <w:r w:rsidR="00ED2E02">
        <w:rPr>
          <w:lang w:val="en-US"/>
        </w:rPr>
        <w:t xml:space="preserve">a question in dispute and there is </w:t>
      </w:r>
      <w:r w:rsidRPr="007814F2">
        <w:rPr>
          <w:lang w:val="en-US"/>
        </w:rPr>
        <w:t xml:space="preserve">no possibility for the Italian </w:t>
      </w:r>
      <w:r w:rsidR="00FB3601">
        <w:rPr>
          <w:lang w:val="en-US"/>
        </w:rPr>
        <w:t xml:space="preserve">and the Romanian </w:t>
      </w:r>
      <w:r w:rsidRPr="007814F2">
        <w:rPr>
          <w:lang w:val="en-US"/>
        </w:rPr>
        <w:t>tax authority to reject the request because of the audit settlement.</w:t>
      </w:r>
    </w:p>
    <w:p w14:paraId="5E1A54F5" w14:textId="569EA4A1" w:rsidR="007814F2" w:rsidRPr="007814F2" w:rsidRDefault="001F08F8" w:rsidP="000A5B0C">
      <w:pPr>
        <w:pStyle w:val="Titolo3"/>
        <w:jc w:val="both"/>
        <w:rPr>
          <w:lang w:val="en-US"/>
        </w:rPr>
      </w:pPr>
      <w:bookmarkStart w:id="60" w:name="_Toc201335642"/>
      <w:bookmarkStart w:id="61" w:name="_Toc201671081"/>
      <w:r>
        <w:rPr>
          <w:lang w:val="en-US"/>
        </w:rPr>
        <w:t>6.2.3</w:t>
      </w:r>
      <w:r w:rsidR="007814F2" w:rsidRPr="007814F2">
        <w:rPr>
          <w:lang w:val="en-US"/>
        </w:rPr>
        <w:t xml:space="preserve"> the complaint was not submitted within the 3-year period set out in Article 3(1)</w:t>
      </w:r>
      <w:bookmarkEnd w:id="60"/>
      <w:bookmarkEnd w:id="61"/>
    </w:p>
    <w:p w14:paraId="333A1405" w14:textId="77777777" w:rsidR="007814F2" w:rsidRPr="007814F2" w:rsidRDefault="007814F2" w:rsidP="000A5B0C">
      <w:pPr>
        <w:jc w:val="both"/>
        <w:rPr>
          <w:lang w:val="en-US"/>
        </w:rPr>
      </w:pPr>
      <w:r w:rsidRPr="007814F2">
        <w:rPr>
          <w:lang w:val="en-US"/>
        </w:rPr>
        <w:t>This is a procedural issue and to the extent that the term is met there is no possibility for the authorities to reject the request.</w:t>
      </w:r>
    </w:p>
    <w:p w14:paraId="561ED590" w14:textId="77777777" w:rsidR="007814F2" w:rsidRPr="007814F2" w:rsidRDefault="007814F2" w:rsidP="000A5B0C">
      <w:pPr>
        <w:jc w:val="both"/>
        <w:rPr>
          <w:lang w:val="en-US"/>
        </w:rPr>
      </w:pPr>
      <w:r w:rsidRPr="007814F2">
        <w:rPr>
          <w:lang w:val="en-US"/>
        </w:rPr>
        <w:t>According to the Directive “</w:t>
      </w:r>
      <w:r w:rsidRPr="00641D71">
        <w:rPr>
          <w:i/>
          <w:iCs/>
          <w:lang w:val="en-US"/>
        </w:rPr>
        <w:t>The complaint shall be submitted within 3 years from the receipt of the first notification of the action resulting in, or that will result in, the question in dispute</w:t>
      </w:r>
      <w:r w:rsidRPr="007814F2">
        <w:rPr>
          <w:lang w:val="en-US"/>
        </w:rPr>
        <w:t>”.</w:t>
      </w:r>
    </w:p>
    <w:p w14:paraId="77F3D5AB" w14:textId="77777777" w:rsidR="007814F2" w:rsidRPr="007814F2" w:rsidRDefault="007814F2" w:rsidP="000A5B0C">
      <w:pPr>
        <w:jc w:val="both"/>
        <w:rPr>
          <w:lang w:val="en-US"/>
        </w:rPr>
      </w:pPr>
      <w:r w:rsidRPr="007814F2">
        <w:rPr>
          <w:lang w:val="en-US"/>
        </w:rPr>
        <w:t xml:space="preserve">In the specific case, the first notification was made in March 2025 with the signing of the audit settlement. Consequently, Vimercati has three years since then to file without incurring the risk of rejection. </w:t>
      </w:r>
    </w:p>
    <w:p w14:paraId="637C5C9A" w14:textId="24624925" w:rsidR="004E25ED" w:rsidRPr="00BA7312" w:rsidRDefault="007814F2" w:rsidP="000A5B0C">
      <w:pPr>
        <w:jc w:val="both"/>
        <w:rPr>
          <w:lang w:val="en-US"/>
        </w:rPr>
      </w:pPr>
      <w:r w:rsidRPr="007814F2">
        <w:rPr>
          <w:lang w:val="en-US"/>
        </w:rPr>
        <w:t>Please consider that, according to the Directive, Vimercati and Vimercati EE have to simultaneously submit the complaint with the same information to each competent authority, and shall indicate in the complaint which other Member States are concerned.</w:t>
      </w:r>
    </w:p>
    <w:p w14:paraId="760F67BD" w14:textId="72AEF00F" w:rsidR="001F770D" w:rsidRPr="00421809" w:rsidRDefault="00421809" w:rsidP="000A5B0C">
      <w:pPr>
        <w:pStyle w:val="Titolo2"/>
        <w:jc w:val="both"/>
        <w:rPr>
          <w:b/>
          <w:bCs/>
          <w:lang w:val="en-US"/>
        </w:rPr>
      </w:pPr>
      <w:bookmarkStart w:id="62" w:name="_Toc201335643"/>
      <w:bookmarkStart w:id="63" w:name="_Toc201671082"/>
      <w:r>
        <w:rPr>
          <w:b/>
          <w:bCs/>
          <w:lang w:val="en-US"/>
        </w:rPr>
        <w:t xml:space="preserve">6.3 </w:t>
      </w:r>
      <w:r w:rsidR="001F770D" w:rsidRPr="00421809">
        <w:rPr>
          <w:b/>
          <w:bCs/>
          <w:lang w:val="en-US"/>
        </w:rPr>
        <w:t xml:space="preserve">whether the CAs are obliged to reach an agreement, thus eliminating </w:t>
      </w:r>
      <w:r w:rsidR="005E657D" w:rsidRPr="00421809">
        <w:rPr>
          <w:b/>
          <w:bCs/>
          <w:lang w:val="en-US"/>
        </w:rPr>
        <w:t>double</w:t>
      </w:r>
      <w:r w:rsidR="001F770D" w:rsidRPr="00421809">
        <w:rPr>
          <w:b/>
          <w:bCs/>
          <w:lang w:val="en-US"/>
        </w:rPr>
        <w:t xml:space="preserve"> taxation.</w:t>
      </w:r>
      <w:bookmarkEnd w:id="62"/>
      <w:bookmarkEnd w:id="63"/>
    </w:p>
    <w:p w14:paraId="01265D25" w14:textId="77777777" w:rsidR="00504CB4" w:rsidRDefault="00504CB4" w:rsidP="000A5B0C">
      <w:pPr>
        <w:jc w:val="both"/>
      </w:pPr>
      <w:r w:rsidRPr="00504CB4">
        <w:t>The mechanism established by the Directive is designed to ensure that tax disputes do not remain unresolved</w:t>
      </w:r>
      <w:r>
        <w:t>.</w:t>
      </w:r>
    </w:p>
    <w:p w14:paraId="480BB3F9" w14:textId="7076EBDC" w:rsidR="001F770D" w:rsidRPr="002D59CD" w:rsidRDefault="001F770D" w:rsidP="000A5B0C">
      <w:pPr>
        <w:jc w:val="both"/>
        <w:rPr>
          <w:i/>
          <w:iCs/>
          <w:lang w:val="en-US"/>
        </w:rPr>
      </w:pPr>
      <w:r>
        <w:rPr>
          <w:lang w:val="en-US"/>
        </w:rPr>
        <w:t>According to article 4 of the Directive “</w:t>
      </w:r>
      <w:r w:rsidRPr="002D59CD">
        <w:rPr>
          <w:i/>
          <w:iCs/>
          <w:lang w:val="en-US"/>
        </w:rPr>
        <w:t xml:space="preserve">Where the competent authorities of the Member States concerned accept a complaint, they shall </w:t>
      </w:r>
      <w:r w:rsidR="008C7304" w:rsidRPr="002D59CD">
        <w:rPr>
          <w:i/>
          <w:iCs/>
          <w:lang w:val="en-US"/>
        </w:rPr>
        <w:t>endeavor</w:t>
      </w:r>
      <w:r w:rsidRPr="002D59CD">
        <w:rPr>
          <w:i/>
          <w:iCs/>
          <w:lang w:val="en-US"/>
        </w:rPr>
        <w:t xml:space="preserve"> to resolve the question in dispute by mutual agreement within 2 years, starting from the last notification of a decision of one of the Member States on the acceptance of the complaint. </w:t>
      </w:r>
    </w:p>
    <w:p w14:paraId="25CD6383" w14:textId="04042A1B" w:rsidR="004E25ED" w:rsidRDefault="001F770D" w:rsidP="000A5B0C">
      <w:pPr>
        <w:jc w:val="both"/>
        <w:rPr>
          <w:lang w:val="en-US"/>
        </w:rPr>
      </w:pPr>
      <w:r w:rsidRPr="002D59CD">
        <w:rPr>
          <w:i/>
          <w:iCs/>
          <w:lang w:val="en-US"/>
        </w:rPr>
        <w:t>The period of 2 years referred to in the first subparagraph may be extended by up to 1 year at the request of a competent authority of a Member State concerned to all of the other competent authorities of the Member States concerned, if the requesting competent authority provides written justification</w:t>
      </w:r>
      <w:r>
        <w:rPr>
          <w:lang w:val="en-US"/>
        </w:rPr>
        <w:t>”</w:t>
      </w:r>
      <w:r w:rsidRPr="00C50A34">
        <w:rPr>
          <w:lang w:val="en-US"/>
        </w:rPr>
        <w:t>.</w:t>
      </w:r>
    </w:p>
    <w:p w14:paraId="2A7FA231" w14:textId="01905114" w:rsidR="00AD21AE" w:rsidRDefault="00D55E68" w:rsidP="000A5B0C">
      <w:pPr>
        <w:jc w:val="both"/>
      </w:pPr>
      <w:r>
        <w:lastRenderedPageBreak/>
        <w:t>But where</w:t>
      </w:r>
      <w:r w:rsidR="00BD1CF9" w:rsidRPr="00BD1CF9">
        <w:t xml:space="preserve"> the </w:t>
      </w:r>
      <w:r w:rsidR="009B653F">
        <w:t>CAs</w:t>
      </w:r>
      <w:r w:rsidR="00BD1CF9" w:rsidRPr="00BD1CF9">
        <w:t xml:space="preserve"> fail to reach an agreement during the mutual agreement procedure, </w:t>
      </w:r>
      <w:r>
        <w:t>a</w:t>
      </w:r>
      <w:r w:rsidRPr="00D55E68">
        <w:t>s explained in paragraphs 5.6</w:t>
      </w:r>
      <w:r w:rsidR="00FB3601">
        <w:t xml:space="preserve"> </w:t>
      </w:r>
      <w:r w:rsidR="00BD1CF9" w:rsidRPr="00BD1CF9">
        <w:t xml:space="preserve">the Advisory Commission </w:t>
      </w:r>
      <w:r>
        <w:t xml:space="preserve">could </w:t>
      </w:r>
      <w:r w:rsidR="00BD1CF9" w:rsidRPr="00BD1CF9">
        <w:t xml:space="preserve">act as a </w:t>
      </w:r>
      <w:r>
        <w:t>“</w:t>
      </w:r>
      <w:r w:rsidR="00BD1CF9" w:rsidRPr="00BD1CF9">
        <w:t>safeguard</w:t>
      </w:r>
      <w:r>
        <w:t>”</w:t>
      </w:r>
      <w:r w:rsidR="00BD1CF9" w:rsidRPr="00BD1CF9">
        <w:t xml:space="preserve"> by issuing a binding opinion on how the dispute should be resolved. This guarantees that, even in the absence of a negotiated solution in the initial phase, the elimination of double taxation is still ensured through a structured and impartial process.</w:t>
      </w:r>
    </w:p>
    <w:p w14:paraId="0641A476" w14:textId="7108A6FB" w:rsidR="00C47019" w:rsidRDefault="00C47019" w:rsidP="000A5B0C">
      <w:pPr>
        <w:jc w:val="both"/>
      </w:pPr>
      <w:r w:rsidRPr="00C47019">
        <w:t xml:space="preserve">Alternatively, as noted in paragraph 5.7, </w:t>
      </w:r>
      <w:r w:rsidR="00EA25C8">
        <w:t xml:space="preserve">by the setting up of an </w:t>
      </w:r>
      <w:r w:rsidR="00EA25C8" w:rsidRPr="00206427">
        <w:t>alternative dispute resolution commission</w:t>
      </w:r>
      <w:r w:rsidR="00EA25C8">
        <w:t xml:space="preserve"> </w:t>
      </w:r>
      <w:r w:rsidR="00EA25C8" w:rsidRPr="00206427">
        <w:t>instead of an Advisory Commission to deliver an opinion on how to resolve the question in dispute in accordance</w:t>
      </w:r>
      <w:r w:rsidR="00EA25C8">
        <w:t>.</w:t>
      </w:r>
    </w:p>
    <w:p w14:paraId="7BE3B0FC" w14:textId="4E034249" w:rsidR="00FB3601" w:rsidRDefault="00FB3601" w:rsidP="000A5B0C">
      <w:pPr>
        <w:jc w:val="both"/>
      </w:pPr>
      <w:r>
        <w:t>Finally, as noted in paragraph 5.8, the CAs must reach and agreement, either accepting the opinion of the Commission or adopting an alternative agreement, provided that it eliminates the double taxation.</w:t>
      </w:r>
    </w:p>
    <w:p w14:paraId="354181BA" w14:textId="41233F7A" w:rsidR="00A46047" w:rsidRPr="002C143E" w:rsidRDefault="00DF6AED" w:rsidP="000A5B0C">
      <w:pPr>
        <w:pStyle w:val="Titolo1"/>
        <w:numPr>
          <w:ilvl w:val="0"/>
          <w:numId w:val="29"/>
        </w:numPr>
        <w:jc w:val="both"/>
        <w:rPr>
          <w:b/>
          <w:bCs w:val="0"/>
          <w:lang w:val="en-US"/>
        </w:rPr>
      </w:pPr>
      <w:bookmarkStart w:id="64" w:name="_Toc201335644"/>
      <w:bookmarkStart w:id="65" w:name="_Toc201671083"/>
      <w:r>
        <w:rPr>
          <w:b/>
          <w:bCs w:val="0"/>
          <w:lang w:val="en-US"/>
        </w:rPr>
        <w:t>Conclusions</w:t>
      </w:r>
      <w:bookmarkEnd w:id="64"/>
      <w:bookmarkEnd w:id="65"/>
    </w:p>
    <w:p w14:paraId="75701A6D" w14:textId="77777777" w:rsidR="001740A7" w:rsidRPr="001740A7" w:rsidRDefault="001740A7" w:rsidP="001740A7">
      <w:pPr>
        <w:jc w:val="both"/>
        <w:rPr>
          <w:lang w:val="en-US"/>
        </w:rPr>
      </w:pPr>
      <w:r w:rsidRPr="001740A7">
        <w:rPr>
          <w:lang w:val="en-US"/>
        </w:rPr>
        <w:t>In conclusion, the legal framework established by EU Directive 2017/1852 provides Vimercati and Vimercati EE with a robust and enforceable mechanism to eliminate the double taxation resulting from the Italian tax audit and subsequent settlement.</w:t>
      </w:r>
    </w:p>
    <w:p w14:paraId="2C2F4616" w14:textId="77777777" w:rsidR="001740A7" w:rsidRPr="001740A7" w:rsidRDefault="001740A7" w:rsidP="001740A7">
      <w:pPr>
        <w:jc w:val="both"/>
        <w:rPr>
          <w:lang w:val="en-US"/>
        </w:rPr>
      </w:pPr>
      <w:r w:rsidRPr="001740A7">
        <w:rPr>
          <w:lang w:val="en-US"/>
        </w:rPr>
        <w:t>The Directive guarantees that, once a MAP request is accepted, the competent authorities are required to attempt resolution within a defined timeframe. If they fail to reach an agreement, the taxpayer has the right to activate an Advisory Commission or an Alternative Dispute Resolution Commission. These bodies are empowered to issue binding opinions, ensuring that the dispute is resolved and double taxation is effectively removed.</w:t>
      </w:r>
    </w:p>
    <w:p w14:paraId="27AD400B" w14:textId="77777777" w:rsidR="001740A7" w:rsidRPr="001740A7" w:rsidRDefault="001740A7" w:rsidP="001740A7">
      <w:pPr>
        <w:jc w:val="both"/>
        <w:rPr>
          <w:lang w:val="en-US"/>
        </w:rPr>
      </w:pPr>
      <w:r w:rsidRPr="001740A7">
        <w:rPr>
          <w:lang w:val="en-US"/>
        </w:rPr>
        <w:t>This procedural safeguard—enshrined in EU law—represents a significant advancement over previous instruments such as the Arbitration Convention. It ensures legal certainty and enforceability, offering taxpayers a clear path to relief. The Directive thus not only strengthens the taxpayer’s position but also reinforces the principles of cooperation and good faith among Member States in resolving cross-border tax disputes.</w:t>
      </w:r>
    </w:p>
    <w:p w14:paraId="080A757C" w14:textId="63DB76F9" w:rsidR="001F770D" w:rsidRPr="00BA7312" w:rsidRDefault="001F770D" w:rsidP="000A5B0C">
      <w:pPr>
        <w:jc w:val="both"/>
        <w:rPr>
          <w:lang w:val="en-US"/>
        </w:rPr>
      </w:pPr>
    </w:p>
    <w:sectPr w:rsidR="001F770D" w:rsidRPr="00BA7312" w:rsidSect="007E5FDB">
      <w:headerReference w:type="even" r:id="rId13"/>
      <w:headerReference w:type="default" r:id="rId14"/>
      <w:footerReference w:type="even" r:id="rId15"/>
      <w:footerReference w:type="default" r:id="rId16"/>
      <w:headerReference w:type="first" r:id="rId17"/>
      <w:footerReference w:type="first" r:id="rId18"/>
      <w:pgSz w:w="11906" w:h="16838" w:code="9"/>
      <w:pgMar w:top="1701" w:right="1418" w:bottom="1418" w:left="1418" w:header="74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DD46" w14:textId="77777777" w:rsidR="001E6C72" w:rsidRDefault="001E6C72">
      <w:r>
        <w:separator/>
      </w:r>
    </w:p>
  </w:endnote>
  <w:endnote w:type="continuationSeparator" w:id="0">
    <w:p w14:paraId="088E809C" w14:textId="77777777" w:rsidR="001E6C72" w:rsidRDefault="001E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Bold">
    <w:altName w:val="Garamon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5C78" w14:textId="77777777" w:rsidR="007278CB" w:rsidRDefault="007278C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8301" w14:textId="6C06D8AF" w:rsidR="008972C3" w:rsidRPr="004D6442" w:rsidRDefault="00FB3601" w:rsidP="008972C3">
    <w:pPr>
      <w:pStyle w:val="Pidipagina"/>
    </w:pPr>
    <w:sdt>
      <w:sdtPr>
        <w:alias w:val="Member Firm"/>
        <w:tag w:val="Member Firm"/>
        <w:id w:val="-809169410"/>
        <w:placeholder>
          <w:docPart w:val="555CB12E15EC4ADEA3720DF9EC468A48"/>
        </w:placeholder>
        <w:dataBinding w:prefixMappings="xmlns:ns0='http://Grant_Thornton/CC_Mapping_Part' " w:xpath="/ns0:CC_Map_Root[1]/ns0:Member_Firm[1]" w:storeItemID="{344FAD1D-49D7-411A-827E-64424C78A5FC}"/>
        <w:text/>
      </w:sdtPr>
      <w:sdtEndPr/>
      <w:sdtContent>
        <w:r w:rsidR="00E15294" w:rsidRPr="00E15294">
          <w:t xml:space="preserve"> Bernoni &amp; Partners</w:t>
        </w:r>
      </w:sdtContent>
    </w:sdt>
    <w:r w:rsidR="008972C3" w:rsidRPr="004D6442">
      <w:t> </w:t>
    </w:r>
    <w:r w:rsidR="008972C3" w:rsidRPr="004D6442">
      <w:rPr>
        <w:rStyle w:val="PageNumber"/>
      </w:rPr>
      <w:fldChar w:fldCharType="begin"/>
    </w:r>
    <w:r w:rsidR="008972C3" w:rsidRPr="004D6442">
      <w:rPr>
        <w:rStyle w:val="PageNumber"/>
      </w:rPr>
      <w:instrText xml:space="preserve"> PAGE </w:instrText>
    </w:r>
    <w:r w:rsidR="008972C3" w:rsidRPr="004D6442">
      <w:rPr>
        <w:rStyle w:val="PageNumber"/>
      </w:rPr>
      <w:fldChar w:fldCharType="separate"/>
    </w:r>
    <w:r w:rsidR="008972C3">
      <w:rPr>
        <w:rStyle w:val="PageNumber"/>
      </w:rPr>
      <w:t>2</w:t>
    </w:r>
    <w:r w:rsidR="008972C3" w:rsidRPr="004D6442">
      <w:rPr>
        <w:rStyle w:val="PageNumber"/>
      </w:rPr>
      <w:fldChar w:fldCharType="end"/>
    </w:r>
    <w:r w:rsidR="008972C3" w:rsidRPr="004D6442">
      <w:rPr>
        <w:noProof/>
      </w:rPr>
      <mc:AlternateContent>
        <mc:Choice Requires="wps">
          <w:drawing>
            <wp:anchor distT="0" distB="0" distL="114300" distR="114300" simplePos="0" relativeHeight="251698688" behindDoc="0" locked="1" layoutInCell="1" allowOverlap="1" wp14:anchorId="6EE6834C" wp14:editId="1C47EC0E">
              <wp:simplePos x="0" y="0"/>
              <wp:positionH relativeFrom="margin">
                <wp:align>right</wp:align>
              </wp:positionH>
              <wp:positionV relativeFrom="paragraph">
                <wp:posOffset>-71755</wp:posOffset>
              </wp:positionV>
              <wp:extent cx="1508400" cy="0"/>
              <wp:effectExtent l="0" t="0" r="0" b="0"/>
              <wp:wrapNone/>
              <wp:docPr id="1651774205" name="Straight Connector 1651774205"/>
              <wp:cNvGraphicFramePr/>
              <a:graphic xmlns:a="http://schemas.openxmlformats.org/drawingml/2006/main">
                <a:graphicData uri="http://schemas.microsoft.com/office/word/2010/wordprocessingShape">
                  <wps:wsp>
                    <wps:cNvCnPr/>
                    <wps:spPr>
                      <a:xfrm>
                        <a:off x="0" y="0"/>
                        <a:ext cx="1508400"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565A21" id="Straight Connector 1651774205" o:spid="_x0000_s1026" style="position:absolute;z-index:2516986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67.55pt,-5.65pt" to="18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" strokecolor="#4f2d7f [3204]" strokeweight="1.5pt">
              <w10:wrap anchorx="margin"/>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4A998" w14:textId="77777777" w:rsidR="00CB060D" w:rsidRDefault="008972C3" w:rsidP="00AB70A4">
    <w:pPr>
      <w:pStyle w:val="Pidipagina"/>
    </w:pPr>
    <w:r>
      <w:rPr>
        <w:noProof/>
      </w:rPr>
      <mc:AlternateContent>
        <mc:Choice Requires="wps">
          <w:drawing>
            <wp:anchor distT="0" distB="0" distL="114300" distR="114300" simplePos="0" relativeHeight="251696640" behindDoc="1" locked="1" layoutInCell="1" allowOverlap="1" wp14:anchorId="6BCABD7F" wp14:editId="5BD4A739">
              <wp:simplePos x="1010093" y="6996223"/>
              <wp:positionH relativeFrom="margin">
                <wp:align>right</wp:align>
              </wp:positionH>
              <wp:positionV relativeFrom="page">
                <wp:posOffset>9145270</wp:posOffset>
              </wp:positionV>
              <wp:extent cx="5976000" cy="1440000"/>
              <wp:effectExtent l="0" t="0" r="0" b="0"/>
              <wp:wrapTight wrapText="bothSides">
                <wp:wrapPolygon edited="0">
                  <wp:start x="0" y="0"/>
                  <wp:lineTo x="0" y="21600"/>
                  <wp:lineTo x="21600" y="21600"/>
                  <wp:lineTo x="21600" y="0"/>
                </wp:wrapPolygon>
              </wp:wrapTight>
              <wp:docPr id="1756091196" name="Text Box 1"/>
              <wp:cNvGraphicFramePr/>
              <a:graphic xmlns:a="http://schemas.openxmlformats.org/drawingml/2006/main">
                <a:graphicData uri="http://schemas.microsoft.com/office/word/2010/wordprocessingShape">
                  <wps:wsp>
                    <wps:cNvSpPr txBox="1"/>
                    <wps:spPr>
                      <a:xfrm>
                        <a:off x="0" y="0"/>
                        <a:ext cx="5976000" cy="1440000"/>
                      </a:xfrm>
                      <a:prstGeom prst="rect">
                        <a:avLst/>
                      </a:prstGeom>
                      <a:noFill/>
                    </wps:spPr>
                    <wps:txbx>
                      <w:txbxContent>
                        <w:tbl>
                          <w:tblPr>
                            <w:tblOverlap w:val="never"/>
                            <w:tblW w:w="0" w:type="auto"/>
                            <w:tblBorders>
                              <w:top w:val="single" w:sz="12" w:space="0" w:color="4F2D7F" w:themeColor="accent1"/>
                            </w:tblBorders>
                            <w:tblLayout w:type="fixed"/>
                            <w:tblCellMar>
                              <w:left w:w="0" w:type="dxa"/>
                              <w:right w:w="0" w:type="dxa"/>
                            </w:tblCellMar>
                            <w:tblLook w:val="01E0" w:firstRow="1" w:lastRow="1" w:firstColumn="1" w:lastColumn="1" w:noHBand="0" w:noVBand="0"/>
                          </w:tblPr>
                          <w:tblGrid>
                            <w:gridCol w:w="6713"/>
                            <w:gridCol w:w="227"/>
                            <w:gridCol w:w="2381"/>
                          </w:tblGrid>
                          <w:tr w:rsidR="008972C3" w:rsidRPr="0069090D" w14:paraId="7BB1856E" w14:textId="77777777" w:rsidTr="008A5146">
                            <w:trPr>
                              <w:trHeight w:hRule="exact" w:val="227"/>
                            </w:trPr>
                            <w:tc>
                              <w:tcPr>
                                <w:tcW w:w="6713" w:type="dxa"/>
                                <w:tcBorders>
                                  <w:top w:val="nil"/>
                                  <w:bottom w:val="nil"/>
                                </w:tcBorders>
                                <w:vAlign w:val="bottom"/>
                              </w:tcPr>
                              <w:p w14:paraId="05B4BE2F" w14:textId="77777777" w:rsidR="008972C3" w:rsidRPr="008719C2" w:rsidRDefault="008972C3" w:rsidP="008972C3">
                                <w:pPr>
                                  <w:pStyle w:val="LetterFooter"/>
                                  <w:suppressOverlap/>
                                </w:pPr>
                              </w:p>
                            </w:tc>
                            <w:tc>
                              <w:tcPr>
                                <w:tcW w:w="227" w:type="dxa"/>
                                <w:tcBorders>
                                  <w:top w:val="nil"/>
                                  <w:bottom w:val="nil"/>
                                </w:tcBorders>
                                <w:vAlign w:val="bottom"/>
                              </w:tcPr>
                              <w:p w14:paraId="01F0B4E5" w14:textId="77777777" w:rsidR="008972C3" w:rsidRPr="008719C2" w:rsidRDefault="008972C3" w:rsidP="008972C3">
                                <w:pPr>
                                  <w:pStyle w:val="LetterFooter"/>
                                  <w:suppressOverlap/>
                                </w:pPr>
                              </w:p>
                            </w:tc>
                            <w:tc>
                              <w:tcPr>
                                <w:tcW w:w="2381" w:type="dxa"/>
                                <w:tcBorders>
                                  <w:top w:val="nil"/>
                                  <w:bottom w:val="nil"/>
                                </w:tcBorders>
                                <w:vAlign w:val="bottom"/>
                              </w:tcPr>
                              <w:p w14:paraId="0A5861ED" w14:textId="77777777" w:rsidR="008972C3" w:rsidRPr="008719C2" w:rsidRDefault="008972C3" w:rsidP="008972C3">
                                <w:pPr>
                                  <w:pStyle w:val="LetterFooter"/>
                                  <w:suppressOverlap/>
                                </w:pPr>
                                <w:bookmarkStart w:id="68" w:name="Address_tbl"/>
                                <w:bookmarkEnd w:id="68"/>
                              </w:p>
                            </w:tc>
                          </w:tr>
                          <w:tr w:rsidR="008972C3" w:rsidRPr="0069090D" w14:paraId="0A75D0D0" w14:textId="77777777" w:rsidTr="008A5146">
                            <w:trPr>
                              <w:trHeight w:val="57"/>
                            </w:trPr>
                            <w:tc>
                              <w:tcPr>
                                <w:tcW w:w="6713" w:type="dxa"/>
                                <w:tcBorders>
                                  <w:top w:val="nil"/>
                                  <w:bottom w:val="single" w:sz="12" w:space="0" w:color="4F2D7F" w:themeColor="accent1"/>
                                </w:tcBorders>
                                <w:vAlign w:val="bottom"/>
                              </w:tcPr>
                              <w:p w14:paraId="6458D6F8" w14:textId="77777777" w:rsidR="008972C3" w:rsidRDefault="008972C3" w:rsidP="008972C3">
                                <w:pPr>
                                  <w:pStyle w:val="LicenceNumber"/>
                                  <w:suppressOverlap/>
                                </w:pPr>
                                <w:bookmarkStart w:id="69" w:name="License_Number"/>
                                <w:r>
                                  <w:t xml:space="preserve"> </w:t>
                                </w:r>
                                <w:bookmarkEnd w:id="69"/>
                              </w:p>
                              <w:p w14:paraId="3F3BC920" w14:textId="77777777" w:rsidR="008972C3" w:rsidRPr="000D0E98" w:rsidRDefault="008972C3" w:rsidP="008972C3">
                                <w:pPr>
                                  <w:pStyle w:val="Smlspace"/>
                                  <w:suppressOverlap/>
                                </w:pPr>
                              </w:p>
                            </w:tc>
                            <w:tc>
                              <w:tcPr>
                                <w:tcW w:w="227" w:type="dxa"/>
                                <w:tcBorders>
                                  <w:top w:val="nil"/>
                                  <w:bottom w:val="nil"/>
                                </w:tcBorders>
                                <w:vAlign w:val="bottom"/>
                              </w:tcPr>
                              <w:p w14:paraId="739FB314" w14:textId="77777777" w:rsidR="008972C3" w:rsidRPr="000D0E98" w:rsidRDefault="008972C3" w:rsidP="008972C3">
                                <w:pPr>
                                  <w:pStyle w:val="Smlspace"/>
                                  <w:suppressOverlap/>
                                </w:pPr>
                              </w:p>
                            </w:tc>
                            <w:tc>
                              <w:tcPr>
                                <w:tcW w:w="2381" w:type="dxa"/>
                                <w:tcBorders>
                                  <w:top w:val="nil"/>
                                  <w:bottom w:val="single" w:sz="12" w:space="0" w:color="4F2D7F" w:themeColor="accent1"/>
                                </w:tcBorders>
                                <w:vAlign w:val="bottom"/>
                              </w:tcPr>
                              <w:p w14:paraId="50A5FA07" w14:textId="77777777" w:rsidR="008972C3" w:rsidRPr="000D0E98" w:rsidRDefault="008972C3" w:rsidP="008972C3">
                                <w:pPr>
                                  <w:pStyle w:val="Smlspace"/>
                                  <w:suppressOverlap/>
                                </w:pPr>
                              </w:p>
                            </w:tc>
                          </w:tr>
                          <w:tr w:rsidR="008972C3" w:rsidRPr="0069090D" w14:paraId="65B186FF" w14:textId="77777777" w:rsidTr="008A5146">
                            <w:trPr>
                              <w:trHeight w:val="116"/>
                            </w:trPr>
                            <w:tc>
                              <w:tcPr>
                                <w:tcW w:w="6713" w:type="dxa"/>
                              </w:tcPr>
                              <w:p w14:paraId="64D86F1C" w14:textId="77777777" w:rsidR="008972C3" w:rsidRDefault="008972C3" w:rsidP="008972C3">
                                <w:pPr>
                                  <w:pStyle w:val="Smlspace"/>
                                  <w:suppressOverlap/>
                                </w:pPr>
                              </w:p>
                            </w:tc>
                            <w:tc>
                              <w:tcPr>
                                <w:tcW w:w="227" w:type="dxa"/>
                                <w:tcBorders>
                                  <w:top w:val="nil"/>
                                </w:tcBorders>
                                <w:vAlign w:val="bottom"/>
                              </w:tcPr>
                              <w:p w14:paraId="5E2B842C" w14:textId="77777777" w:rsidR="008972C3" w:rsidRPr="0069090D" w:rsidRDefault="008972C3" w:rsidP="008972C3">
                                <w:pPr>
                                  <w:pStyle w:val="Smlspace"/>
                                  <w:suppressOverlap/>
                                </w:pPr>
                              </w:p>
                            </w:tc>
                            <w:tc>
                              <w:tcPr>
                                <w:tcW w:w="2381" w:type="dxa"/>
                              </w:tcPr>
                              <w:p w14:paraId="467A879E" w14:textId="77777777" w:rsidR="008972C3" w:rsidRPr="00577D61" w:rsidRDefault="008972C3" w:rsidP="008972C3">
                                <w:pPr>
                                  <w:pStyle w:val="Smlspace"/>
                                  <w:suppressOverlap/>
                                </w:pPr>
                              </w:p>
                            </w:tc>
                          </w:tr>
                          <w:tr w:rsidR="005967F4" w:rsidRPr="0069090D" w14:paraId="54050C4C" w14:textId="77777777" w:rsidTr="008A5146">
                            <w:trPr>
                              <w:trHeight w:val="116"/>
                            </w:trPr>
                            <w:bookmarkStart w:id="70" w:name="Footer1_tbl" w:displacedByCustomXml="next"/>
                            <w:sdt>
                              <w:sdtPr>
                                <w:alias w:val="Disclaimer"/>
                                <w:tag w:val="Disclaimer"/>
                                <w:id w:val="-534887086"/>
                                <w15:dataBinding w:prefixMappings="xmlns:ns0='http://Grant_Thornton/CC_Mapping_Part' " w:xpath="/ns0:CC_Map_Root[1]/ns0:Disclaimer[1]" w:storeItemID="{344FAD1D-49D7-411A-827E-64424C78A5FC}" w16sdtdh:storeItemChecksum="O/JlsQ=="/>
                              </w:sdtPr>
                              <w:sdtEndPr/>
                              <w:sdtContent>
                                <w:tc>
                                  <w:tcPr>
                                    <w:tcW w:w="6713" w:type="dxa"/>
                                  </w:tcPr>
                                  <w:p w14:paraId="6694D33B" w14:textId="6B48CD52" w:rsidR="005967F4" w:rsidRDefault="005967F4" w:rsidP="005967F4">
                                    <w:pPr>
                                      <w:pStyle w:val="LetterFooter"/>
                                      <w:suppressOverlap/>
                                    </w:pPr>
                                    <w:r>
                                      <w:t xml:space="preserve">© Bernoni &amp; Partners. All rights reserved. 'Grant Thornton' refers to the brand under which the Grant Thornton member firms provide assurance, tax and advisory services to their clients and/or refers to one or more member firms, as the context requires. Bernoni &amp; Partners is a member firm of Grant Thornton International Ltd (GTIL). GTIL and the member firms are not a worldwide partnership. GTIL and each member firm is a separate legal entity. Services are delivered by the member firms. GTIL does not provide services to clients. GTIL and its member firms are not agents of, and do not obligate, one another and are not liable for one another’s acts or omissions. Please see www.bgt-grantthornton.it for further details. </w:t>
                                    </w:r>
                                  </w:p>
                                </w:tc>
                              </w:sdtContent>
                            </w:sdt>
                            <w:tc>
                              <w:tcPr>
                                <w:tcW w:w="227" w:type="dxa"/>
                                <w:tcBorders>
                                  <w:top w:val="nil"/>
                                </w:tcBorders>
                                <w:vAlign w:val="bottom"/>
                              </w:tcPr>
                              <w:p w14:paraId="76785C2A" w14:textId="77777777" w:rsidR="005967F4" w:rsidRPr="0069090D" w:rsidRDefault="005967F4" w:rsidP="005967F4">
                                <w:pPr>
                                  <w:pStyle w:val="LetterFooter"/>
                                  <w:suppressOverlap/>
                                </w:pPr>
                              </w:p>
                            </w:tc>
                            <w:sdt>
                              <w:sdtPr>
                                <w:alias w:val="Web"/>
                                <w:tag w:val="Web"/>
                                <w:id w:val="1648395649"/>
                                <w:dataBinding w:prefixMappings="xmlns:ns0='http://Grant_Thornton/CC_Mapping_Part' " w:xpath="/ns0:CC_Map_Root[1]/ns0:Web[1]" w:storeItemID="{344FAD1D-49D7-411A-827E-64424C78A5FC}"/>
                                <w:text/>
                              </w:sdtPr>
                              <w:sdtEndPr/>
                              <w:sdtContent>
                                <w:tc>
                                  <w:tcPr>
                                    <w:tcW w:w="2381" w:type="dxa"/>
                                  </w:tcPr>
                                  <w:p w14:paraId="0274C061" w14:textId="010A0580" w:rsidR="005967F4" w:rsidRPr="00577D61" w:rsidRDefault="005967F4" w:rsidP="005967F4">
                                    <w:pPr>
                                      <w:pStyle w:val="LetterFooterURL"/>
                                      <w:suppressOverlap/>
                                    </w:pPr>
                                    <w:r w:rsidRPr="005967F4">
                                      <w:t>bgt-grantthornton.it</w:t>
                                    </w:r>
                                  </w:p>
                                </w:tc>
                              </w:sdtContent>
                            </w:sdt>
                          </w:tr>
                          <w:bookmarkEnd w:id="70"/>
                        </w:tbl>
                        <w:p w14:paraId="60B5AF41" w14:textId="77777777" w:rsidR="008972C3" w:rsidRDefault="008972C3" w:rsidP="008972C3">
                          <w:pPr>
                            <w:spacing w:after="0" w:line="240" w:lineRule="auto"/>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CABD7F" id="_x0000_t202" coordsize="21600,21600" o:spt="202" path="m,l,21600r21600,l21600,xe">
              <v:stroke joinstyle="miter"/>
              <v:path gradientshapeok="t" o:connecttype="rect"/>
            </v:shapetype>
            <v:shape id="Text Box 1" o:spid="_x0000_s1027" type="#_x0000_t202" style="position:absolute;left:0;text-align:left;margin-left:419.35pt;margin-top:720.1pt;width:470.55pt;height:113.4pt;z-index:-2516198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" filled="f" stroked="f">
              <v:textbox inset="0,0,0,0">
                <w:txbxContent>
                  <w:tbl>
                    <w:tblPr>
                      <w:tblOverlap w:val="never"/>
                      <w:tblW w:w="0" w:type="auto"/>
                      <w:tblBorders>
                        <w:top w:val="single" w:sz="12" w:space="0" w:color="4F2D7F" w:themeColor="accent1"/>
                      </w:tblBorders>
                      <w:tblLayout w:type="fixed"/>
                      <w:tblCellMar>
                        <w:left w:w="0" w:type="dxa"/>
                        <w:right w:w="0" w:type="dxa"/>
                      </w:tblCellMar>
                      <w:tblLook w:val="01E0" w:firstRow="1" w:lastRow="1" w:firstColumn="1" w:lastColumn="1" w:noHBand="0" w:noVBand="0"/>
                    </w:tblPr>
                    <w:tblGrid>
                      <w:gridCol w:w="6713"/>
                      <w:gridCol w:w="227"/>
                      <w:gridCol w:w="2381"/>
                    </w:tblGrid>
                    <w:tr w:rsidR="008972C3" w:rsidRPr="0069090D" w14:paraId="7BB1856E" w14:textId="77777777" w:rsidTr="008A5146">
                      <w:trPr>
                        <w:trHeight w:hRule="exact" w:val="227"/>
                      </w:trPr>
                      <w:tc>
                        <w:tcPr>
                          <w:tcW w:w="6713" w:type="dxa"/>
                          <w:tcBorders>
                            <w:top w:val="nil"/>
                            <w:bottom w:val="nil"/>
                          </w:tcBorders>
                          <w:vAlign w:val="bottom"/>
                        </w:tcPr>
                        <w:p w14:paraId="05B4BE2F" w14:textId="77777777" w:rsidR="008972C3" w:rsidRPr="008719C2" w:rsidRDefault="008972C3" w:rsidP="008972C3">
                          <w:pPr>
                            <w:pStyle w:val="LetterFooter"/>
                            <w:suppressOverlap/>
                          </w:pPr>
                        </w:p>
                      </w:tc>
                      <w:tc>
                        <w:tcPr>
                          <w:tcW w:w="227" w:type="dxa"/>
                          <w:tcBorders>
                            <w:top w:val="nil"/>
                            <w:bottom w:val="nil"/>
                          </w:tcBorders>
                          <w:vAlign w:val="bottom"/>
                        </w:tcPr>
                        <w:p w14:paraId="01F0B4E5" w14:textId="77777777" w:rsidR="008972C3" w:rsidRPr="008719C2" w:rsidRDefault="008972C3" w:rsidP="008972C3">
                          <w:pPr>
                            <w:pStyle w:val="LetterFooter"/>
                            <w:suppressOverlap/>
                          </w:pPr>
                        </w:p>
                      </w:tc>
                      <w:tc>
                        <w:tcPr>
                          <w:tcW w:w="2381" w:type="dxa"/>
                          <w:tcBorders>
                            <w:top w:val="nil"/>
                            <w:bottom w:val="nil"/>
                          </w:tcBorders>
                          <w:vAlign w:val="bottom"/>
                        </w:tcPr>
                        <w:p w14:paraId="0A5861ED" w14:textId="77777777" w:rsidR="008972C3" w:rsidRPr="008719C2" w:rsidRDefault="008972C3" w:rsidP="008972C3">
                          <w:pPr>
                            <w:pStyle w:val="LetterFooter"/>
                            <w:suppressOverlap/>
                          </w:pPr>
                          <w:bookmarkStart w:id="71" w:name="Address_tbl"/>
                          <w:bookmarkEnd w:id="71"/>
                        </w:p>
                      </w:tc>
                    </w:tr>
                    <w:tr w:rsidR="008972C3" w:rsidRPr="0069090D" w14:paraId="0A75D0D0" w14:textId="77777777" w:rsidTr="008A5146">
                      <w:trPr>
                        <w:trHeight w:val="57"/>
                      </w:trPr>
                      <w:tc>
                        <w:tcPr>
                          <w:tcW w:w="6713" w:type="dxa"/>
                          <w:tcBorders>
                            <w:top w:val="nil"/>
                            <w:bottom w:val="single" w:sz="12" w:space="0" w:color="4F2D7F" w:themeColor="accent1"/>
                          </w:tcBorders>
                          <w:vAlign w:val="bottom"/>
                        </w:tcPr>
                        <w:p w14:paraId="6458D6F8" w14:textId="77777777" w:rsidR="008972C3" w:rsidRDefault="008972C3" w:rsidP="008972C3">
                          <w:pPr>
                            <w:pStyle w:val="LicenceNumber"/>
                            <w:suppressOverlap/>
                          </w:pPr>
                          <w:bookmarkStart w:id="72" w:name="License_Number"/>
                          <w:r>
                            <w:t xml:space="preserve"> </w:t>
                          </w:r>
                          <w:bookmarkEnd w:id="72"/>
                        </w:p>
                        <w:p w14:paraId="3F3BC920" w14:textId="77777777" w:rsidR="008972C3" w:rsidRPr="000D0E98" w:rsidRDefault="008972C3" w:rsidP="008972C3">
                          <w:pPr>
                            <w:pStyle w:val="Smlspace"/>
                            <w:suppressOverlap/>
                          </w:pPr>
                        </w:p>
                      </w:tc>
                      <w:tc>
                        <w:tcPr>
                          <w:tcW w:w="227" w:type="dxa"/>
                          <w:tcBorders>
                            <w:top w:val="nil"/>
                            <w:bottom w:val="nil"/>
                          </w:tcBorders>
                          <w:vAlign w:val="bottom"/>
                        </w:tcPr>
                        <w:p w14:paraId="739FB314" w14:textId="77777777" w:rsidR="008972C3" w:rsidRPr="000D0E98" w:rsidRDefault="008972C3" w:rsidP="008972C3">
                          <w:pPr>
                            <w:pStyle w:val="Smlspace"/>
                            <w:suppressOverlap/>
                          </w:pPr>
                        </w:p>
                      </w:tc>
                      <w:tc>
                        <w:tcPr>
                          <w:tcW w:w="2381" w:type="dxa"/>
                          <w:tcBorders>
                            <w:top w:val="nil"/>
                            <w:bottom w:val="single" w:sz="12" w:space="0" w:color="4F2D7F" w:themeColor="accent1"/>
                          </w:tcBorders>
                          <w:vAlign w:val="bottom"/>
                        </w:tcPr>
                        <w:p w14:paraId="50A5FA07" w14:textId="77777777" w:rsidR="008972C3" w:rsidRPr="000D0E98" w:rsidRDefault="008972C3" w:rsidP="008972C3">
                          <w:pPr>
                            <w:pStyle w:val="Smlspace"/>
                            <w:suppressOverlap/>
                          </w:pPr>
                        </w:p>
                      </w:tc>
                    </w:tr>
                    <w:tr w:rsidR="008972C3" w:rsidRPr="0069090D" w14:paraId="65B186FF" w14:textId="77777777" w:rsidTr="008A5146">
                      <w:trPr>
                        <w:trHeight w:val="116"/>
                      </w:trPr>
                      <w:tc>
                        <w:tcPr>
                          <w:tcW w:w="6713" w:type="dxa"/>
                        </w:tcPr>
                        <w:p w14:paraId="64D86F1C" w14:textId="77777777" w:rsidR="008972C3" w:rsidRDefault="008972C3" w:rsidP="008972C3">
                          <w:pPr>
                            <w:pStyle w:val="Smlspace"/>
                            <w:suppressOverlap/>
                          </w:pPr>
                        </w:p>
                      </w:tc>
                      <w:tc>
                        <w:tcPr>
                          <w:tcW w:w="227" w:type="dxa"/>
                          <w:tcBorders>
                            <w:top w:val="nil"/>
                          </w:tcBorders>
                          <w:vAlign w:val="bottom"/>
                        </w:tcPr>
                        <w:p w14:paraId="5E2B842C" w14:textId="77777777" w:rsidR="008972C3" w:rsidRPr="0069090D" w:rsidRDefault="008972C3" w:rsidP="008972C3">
                          <w:pPr>
                            <w:pStyle w:val="Smlspace"/>
                            <w:suppressOverlap/>
                          </w:pPr>
                        </w:p>
                      </w:tc>
                      <w:tc>
                        <w:tcPr>
                          <w:tcW w:w="2381" w:type="dxa"/>
                        </w:tcPr>
                        <w:p w14:paraId="467A879E" w14:textId="77777777" w:rsidR="008972C3" w:rsidRPr="00577D61" w:rsidRDefault="008972C3" w:rsidP="008972C3">
                          <w:pPr>
                            <w:pStyle w:val="Smlspace"/>
                            <w:suppressOverlap/>
                          </w:pPr>
                        </w:p>
                      </w:tc>
                    </w:tr>
                    <w:tr w:rsidR="005967F4" w:rsidRPr="0069090D" w14:paraId="54050C4C" w14:textId="77777777" w:rsidTr="008A5146">
                      <w:trPr>
                        <w:trHeight w:val="116"/>
                      </w:trPr>
                      <w:bookmarkStart w:id="73" w:name="Footer1_tbl" w:displacedByCustomXml="next"/>
                      <w:sdt>
                        <w:sdtPr>
                          <w:alias w:val="Disclaimer"/>
                          <w:tag w:val="Disclaimer"/>
                          <w:id w:val="-534887086"/>
                          <w15:dataBinding w:prefixMappings="xmlns:ns0='http://Grant_Thornton/CC_Mapping_Part' " w:xpath="/ns0:CC_Map_Root[1]/ns0:Disclaimer[1]" w:storeItemID="{344FAD1D-49D7-411A-827E-64424C78A5FC}" w16sdtdh:storeItemChecksum="O/JlsQ=="/>
                        </w:sdtPr>
                        <w:sdtEndPr/>
                        <w:sdtContent>
                          <w:tc>
                            <w:tcPr>
                              <w:tcW w:w="6713" w:type="dxa"/>
                            </w:tcPr>
                            <w:p w14:paraId="6694D33B" w14:textId="6B48CD52" w:rsidR="005967F4" w:rsidRDefault="005967F4" w:rsidP="005967F4">
                              <w:pPr>
                                <w:pStyle w:val="LetterFooter"/>
                                <w:suppressOverlap/>
                              </w:pPr>
                              <w:r>
                                <w:t xml:space="preserve">© Bernoni &amp; Partners. All rights reserved. 'Grant Thornton' refers to the brand under which the Grant Thornton member firms provide assurance, tax and advisory services to their clients and/or refers to one or more member firms, as the context requires. Bernoni &amp; Partners is a member firm of Grant Thornton International Ltd (GTIL). GTIL and the member firms are not a worldwide partnership. GTIL and each member firm is a separate legal entity. Services are delivered by the member firms. GTIL does not provide services to clients. GTIL and its member firms are not agents of, and do not obligate, one another and are not liable for one another’s acts or omissions. Please see www.bgt-grantthornton.it for further details. </w:t>
                              </w:r>
                            </w:p>
                          </w:tc>
                        </w:sdtContent>
                      </w:sdt>
                      <w:tc>
                        <w:tcPr>
                          <w:tcW w:w="227" w:type="dxa"/>
                          <w:tcBorders>
                            <w:top w:val="nil"/>
                          </w:tcBorders>
                          <w:vAlign w:val="bottom"/>
                        </w:tcPr>
                        <w:p w14:paraId="76785C2A" w14:textId="77777777" w:rsidR="005967F4" w:rsidRPr="0069090D" w:rsidRDefault="005967F4" w:rsidP="005967F4">
                          <w:pPr>
                            <w:pStyle w:val="LetterFooter"/>
                            <w:suppressOverlap/>
                          </w:pPr>
                        </w:p>
                      </w:tc>
                      <w:sdt>
                        <w:sdtPr>
                          <w:alias w:val="Web"/>
                          <w:tag w:val="Web"/>
                          <w:id w:val="1648395649"/>
                          <w:dataBinding w:prefixMappings="xmlns:ns0='http://Grant_Thornton/CC_Mapping_Part' " w:xpath="/ns0:CC_Map_Root[1]/ns0:Web[1]" w:storeItemID="{344FAD1D-49D7-411A-827E-64424C78A5FC}"/>
                          <w:text/>
                        </w:sdtPr>
                        <w:sdtEndPr/>
                        <w:sdtContent>
                          <w:tc>
                            <w:tcPr>
                              <w:tcW w:w="2381" w:type="dxa"/>
                            </w:tcPr>
                            <w:p w14:paraId="0274C061" w14:textId="010A0580" w:rsidR="005967F4" w:rsidRPr="00577D61" w:rsidRDefault="005967F4" w:rsidP="005967F4">
                              <w:pPr>
                                <w:pStyle w:val="LetterFooterURL"/>
                                <w:suppressOverlap/>
                              </w:pPr>
                              <w:r w:rsidRPr="005967F4">
                                <w:t>bgt-grantthornton.it</w:t>
                              </w:r>
                            </w:p>
                          </w:tc>
                        </w:sdtContent>
                      </w:sdt>
                    </w:tr>
                    <w:bookmarkEnd w:id="73"/>
                  </w:tbl>
                  <w:p w14:paraId="60B5AF41" w14:textId="77777777" w:rsidR="008972C3" w:rsidRDefault="008972C3" w:rsidP="008972C3">
                    <w:pPr>
                      <w:spacing w:after="0" w:line="240" w:lineRule="auto"/>
                    </w:pPr>
                  </w:p>
                </w:txbxContent>
              </v:textbox>
              <w10:wrap type="tight"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B378" w14:textId="77777777" w:rsidR="001E6C72" w:rsidRDefault="001E6C72">
      <w:r>
        <w:separator/>
      </w:r>
    </w:p>
  </w:footnote>
  <w:footnote w:type="continuationSeparator" w:id="0">
    <w:p w14:paraId="60E9F746" w14:textId="77777777" w:rsidR="001E6C72" w:rsidRDefault="001E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6FFD" w14:textId="627647A0" w:rsidR="007278CB" w:rsidRDefault="00FB3601">
    <w:pPr>
      <w:pStyle w:val="Intestazione"/>
    </w:pPr>
    <w:r>
      <w:rPr>
        <w:noProof/>
      </w:rPr>
      <w:pict w14:anchorId="1EBA0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223501" o:spid="_x0000_s1026" type="#_x0000_t136" style="position:absolute;margin-left:0;margin-top:0;width:457.75pt;height:181.65pt;rotation:315;z-index:-2516136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776A" w14:textId="39F98B5E" w:rsidR="007278CB" w:rsidRDefault="00FB3601">
    <w:pPr>
      <w:pStyle w:val="Intestazione"/>
    </w:pPr>
    <w:r>
      <w:rPr>
        <w:noProof/>
      </w:rPr>
      <w:pict w14:anchorId="7BD51E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223502" o:spid="_x0000_s1027" type="#_x0000_t136" style="position:absolute;margin-left:0;margin-top:0;width:457.75pt;height:181.65pt;rotation:315;z-index:-2516116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37CCA" w14:textId="31E29BA4" w:rsidR="00A25818" w:rsidRPr="00CB060D" w:rsidRDefault="00FB3601" w:rsidP="00FD7700">
    <w:pPr>
      <w:pStyle w:val="Intestazione"/>
    </w:pPr>
    <w:r>
      <w:rPr>
        <w:noProof/>
      </w:rPr>
      <w:pict w14:anchorId="2AE518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223500" o:spid="_x0000_s1025" type="#_x0000_t136" style="position:absolute;margin-left:0;margin-top:0;width:457.75pt;height:181.65pt;rotation:315;z-index:-2516157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C4085">
      <w:rPr>
        <w:noProof/>
      </w:rPr>
      <mc:AlternateContent>
        <mc:Choice Requires="wps">
          <w:drawing>
            <wp:anchor distT="0" distB="0" distL="114300" distR="114300" simplePos="0" relativeHeight="251683328" behindDoc="0" locked="1" layoutInCell="1" allowOverlap="1" wp14:anchorId="0E3788DD" wp14:editId="038A4D79">
              <wp:simplePos x="0" y="0"/>
              <wp:positionH relativeFrom="page">
                <wp:posOffset>561975</wp:posOffset>
              </wp:positionH>
              <wp:positionV relativeFrom="page">
                <wp:posOffset>403225</wp:posOffset>
              </wp:positionV>
              <wp:extent cx="3888000" cy="1119600"/>
              <wp:effectExtent l="0" t="0" r="17780" b="444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000" cy="111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right"/>
                            <w:tblLayout w:type="fixed"/>
                            <w:tblCellMar>
                              <w:left w:w="0" w:type="dxa"/>
                              <w:right w:w="0" w:type="dxa"/>
                            </w:tblCellMar>
                            <w:tblLook w:val="01E0" w:firstRow="1" w:lastRow="1" w:firstColumn="1" w:lastColumn="1" w:noHBand="0" w:noVBand="0"/>
                          </w:tblPr>
                          <w:tblGrid>
                            <w:gridCol w:w="6117"/>
                          </w:tblGrid>
                          <w:tr w:rsidR="002637B5" w14:paraId="52882DF1" w14:textId="77777777" w:rsidTr="0053174F">
                            <w:trPr>
                              <w:trHeight w:val="1440"/>
                              <w:jc w:val="right"/>
                            </w:trPr>
                            <w:bookmarkStart w:id="66" w:name="Logo_tbl" w:displacedByCustomXml="next"/>
                            <w:sdt>
                              <w:sdtPr>
                                <w:alias w:val="Logo"/>
                                <w:tag w:val="Logo"/>
                                <w:id w:val="-26794172"/>
                                <w:dataBinding w:prefixMappings="xmlns:ns0='http://Grant_Thornton/CC_Mapping_Part' " w:xpath="/ns0:CC_Map_Root[1]/ns0:Logo[1]" w:storeItemID="{344FAD1D-49D7-411A-827E-64424C78A5FC}"/>
                                <w:picture/>
                              </w:sdtPr>
                              <w:sdtEndPr/>
                              <w:sdtContent>
                                <w:tc>
                                  <w:tcPr>
                                    <w:tcW w:w="6117" w:type="dxa"/>
                                  </w:tcPr>
                                  <w:p w14:paraId="082019BD" w14:textId="77777777" w:rsidR="002637B5" w:rsidRDefault="00B400DA" w:rsidP="004F5624">
                                    <w:pPr>
                                      <w:spacing w:before="38"/>
                                      <w:ind w:left="43"/>
                                    </w:pPr>
                                    <w:r>
                                      <w:rPr>
                                        <w:noProof/>
                                      </w:rPr>
                                      <w:drawing>
                                        <wp:inline distT="0" distB="0" distL="0" distR="0" wp14:anchorId="75943A48" wp14:editId="528CD95C">
                                          <wp:extent cx="2268012" cy="7500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2268012" cy="750082"/>
                                                  </a:xfrm>
                                                  <a:prstGeom prst="rect">
                                                    <a:avLst/>
                                                  </a:prstGeom>
                                                </pic:spPr>
                                              </pic:pic>
                                            </a:graphicData>
                                          </a:graphic>
                                        </wp:inline>
                                      </w:drawing>
                                    </w:r>
                                  </w:p>
                                </w:tc>
                              </w:sdtContent>
                            </w:sdt>
                          </w:tr>
                          <w:bookmarkEnd w:id="66"/>
                        </w:tbl>
                        <w:p w14:paraId="4D575EED" w14:textId="77777777" w:rsidR="002637B5" w:rsidRDefault="002637B5" w:rsidP="002637B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788DD" id="_x0000_t202" coordsize="21600,21600" o:spt="202" path="m,l,21600r21600,l21600,xe">
              <v:stroke joinstyle="miter"/>
              <v:path gradientshapeok="t" o:connecttype="rect"/>
            </v:shapetype>
            <v:shape id="Text Box 5" o:spid="_x0000_s1026" type="#_x0000_t202" style="position:absolute;margin-left:44.25pt;margin-top:31.75pt;width:306.15pt;height:88.15pt;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" filled="f" stroked="f">
              <v:textbox inset="0,0,0,0">
                <w:txbxContent>
                  <w:tbl>
                    <w:tblPr>
                      <w:tblW w:w="0" w:type="auto"/>
                      <w:jc w:val="right"/>
                      <w:tblLayout w:type="fixed"/>
                      <w:tblCellMar>
                        <w:left w:w="0" w:type="dxa"/>
                        <w:right w:w="0" w:type="dxa"/>
                      </w:tblCellMar>
                      <w:tblLook w:val="01E0" w:firstRow="1" w:lastRow="1" w:firstColumn="1" w:lastColumn="1" w:noHBand="0" w:noVBand="0"/>
                    </w:tblPr>
                    <w:tblGrid>
                      <w:gridCol w:w="6117"/>
                    </w:tblGrid>
                    <w:tr w:rsidR="002637B5" w14:paraId="52882DF1" w14:textId="77777777" w:rsidTr="0053174F">
                      <w:trPr>
                        <w:trHeight w:val="1440"/>
                        <w:jc w:val="right"/>
                      </w:trPr>
                      <w:bookmarkStart w:id="67" w:name="Logo_tbl" w:displacedByCustomXml="next"/>
                      <w:sdt>
                        <w:sdtPr>
                          <w:alias w:val="Logo"/>
                          <w:tag w:val="Logo"/>
                          <w:id w:val="-26794172"/>
                          <w:dataBinding w:prefixMappings="xmlns:ns0='http://Grant_Thornton/CC_Mapping_Part' " w:xpath="/ns0:CC_Map_Root[1]/ns0:Logo[1]" w:storeItemID="{344FAD1D-49D7-411A-827E-64424C78A5FC}"/>
                          <w:picture/>
                        </w:sdtPr>
                        <w:sdtEndPr/>
                        <w:sdtContent>
                          <w:tc>
                            <w:tcPr>
                              <w:tcW w:w="6117" w:type="dxa"/>
                            </w:tcPr>
                            <w:p w14:paraId="082019BD" w14:textId="77777777" w:rsidR="002637B5" w:rsidRDefault="00B400DA" w:rsidP="004F5624">
                              <w:pPr>
                                <w:spacing w:before="38"/>
                                <w:ind w:left="43"/>
                              </w:pPr>
                              <w:r>
                                <w:rPr>
                                  <w:noProof/>
                                </w:rPr>
                                <w:drawing>
                                  <wp:inline distT="0" distB="0" distL="0" distR="0" wp14:anchorId="75943A48" wp14:editId="528CD95C">
                                    <wp:extent cx="2268012" cy="7500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2268012" cy="750082"/>
                                            </a:xfrm>
                                            <a:prstGeom prst="rect">
                                              <a:avLst/>
                                            </a:prstGeom>
                                          </pic:spPr>
                                        </pic:pic>
                                      </a:graphicData>
                                    </a:graphic>
                                  </wp:inline>
                                </w:drawing>
                              </w:r>
                            </w:p>
                          </w:tc>
                        </w:sdtContent>
                      </w:sdt>
                    </w:tr>
                    <w:bookmarkEnd w:id="67"/>
                  </w:tbl>
                  <w:p w14:paraId="4D575EED" w14:textId="77777777" w:rsidR="002637B5" w:rsidRDefault="002637B5" w:rsidP="002637B5"/>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D1640F0"/>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65C46B9C"/>
    <w:lvl w:ilvl="0">
      <w:start w:val="1"/>
      <w:numFmt w:val="decimal"/>
      <w:pStyle w:val="Numeroelenco4"/>
      <w:lvlText w:val="%1."/>
      <w:lvlJc w:val="left"/>
      <w:pPr>
        <w:tabs>
          <w:tab w:val="num" w:pos="1209"/>
        </w:tabs>
        <w:ind w:left="1209" w:hanging="360"/>
      </w:pPr>
    </w:lvl>
  </w:abstractNum>
  <w:abstractNum w:abstractNumId="2" w15:restartNumberingAfterBreak="0">
    <w:nsid w:val="FFFFFF80"/>
    <w:multiLevelType w:val="singleLevel"/>
    <w:tmpl w:val="941EBFB0"/>
    <w:lvl w:ilvl="0">
      <w:start w:val="1"/>
      <w:numFmt w:val="bullet"/>
      <w:pStyle w:val="Puntoelenco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1E47CBC"/>
    <w:lvl w:ilvl="0">
      <w:start w:val="1"/>
      <w:numFmt w:val="bullet"/>
      <w:pStyle w:val="Puntoelenco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235906"/>
    <w:multiLevelType w:val="hybridMultilevel"/>
    <w:tmpl w:val="B68CAC4A"/>
    <w:lvl w:ilvl="0" w:tplc="E314F3C0">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871ED7"/>
    <w:multiLevelType w:val="hybridMultilevel"/>
    <w:tmpl w:val="CB4831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393AE7"/>
    <w:multiLevelType w:val="multilevel"/>
    <w:tmpl w:val="04090023"/>
    <w:styleLink w:val="ArticoloSezion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76A780A"/>
    <w:multiLevelType w:val="multilevel"/>
    <w:tmpl w:val="A030D518"/>
    <w:styleLink w:val="GTNumberedLetterHeadings"/>
    <w:lvl w:ilvl="0">
      <w:start w:val="1"/>
      <w:numFmt w:val="decimal"/>
      <w:pStyle w:val="NumberedLetterSubHeading1"/>
      <w:lvlText w:val="%1"/>
      <w:lvlJc w:val="left"/>
      <w:pPr>
        <w:ind w:left="0" w:hanging="567"/>
      </w:pPr>
      <w:rPr>
        <w:rFonts w:hint="default"/>
      </w:rPr>
    </w:lvl>
    <w:lvl w:ilvl="1">
      <w:start w:val="1"/>
      <w:numFmt w:val="decimal"/>
      <w:pStyle w:val="NumberedLetterBodyText"/>
      <w:lvlText w:val="%1.%2"/>
      <w:lvlJc w:val="left"/>
      <w:pPr>
        <w:ind w:left="0" w:hanging="567"/>
      </w:pPr>
      <w:rPr>
        <w:rFonts w:hint="default"/>
      </w:rPr>
    </w:lvl>
    <w:lvl w:ilvl="2">
      <w:start w:val="1"/>
      <w:numFmt w:val="none"/>
      <w:lvlText w:val=""/>
      <w:lvlJc w:val="left"/>
      <w:pPr>
        <w:tabs>
          <w:tab w:val="num" w:pos="567"/>
        </w:tabs>
        <w:ind w:left="0" w:hanging="567"/>
      </w:pPr>
      <w:rPr>
        <w:rFonts w:hint="default"/>
      </w:rPr>
    </w:lvl>
    <w:lvl w:ilvl="3">
      <w:start w:val="1"/>
      <w:numFmt w:val="none"/>
      <w:lvlText w:val=""/>
      <w:lvlJc w:val="left"/>
      <w:pPr>
        <w:tabs>
          <w:tab w:val="num" w:pos="567"/>
        </w:tabs>
        <w:ind w:left="0" w:hanging="567"/>
      </w:pPr>
      <w:rPr>
        <w:rFonts w:hint="default"/>
      </w:rPr>
    </w:lvl>
    <w:lvl w:ilvl="4">
      <w:start w:val="1"/>
      <w:numFmt w:val="none"/>
      <w:lvlText w:val=""/>
      <w:lvlJc w:val="left"/>
      <w:pPr>
        <w:tabs>
          <w:tab w:val="num" w:pos="567"/>
        </w:tabs>
        <w:ind w:left="0" w:hanging="567"/>
      </w:pPr>
      <w:rPr>
        <w:rFonts w:hint="default"/>
      </w:rPr>
    </w:lvl>
    <w:lvl w:ilvl="5">
      <w:start w:val="1"/>
      <w:numFmt w:val="none"/>
      <w:lvlText w:val=""/>
      <w:lvlJc w:val="left"/>
      <w:pPr>
        <w:tabs>
          <w:tab w:val="num" w:pos="567"/>
        </w:tabs>
        <w:ind w:left="0" w:hanging="567"/>
      </w:pPr>
      <w:rPr>
        <w:rFonts w:hint="default"/>
      </w:rPr>
    </w:lvl>
    <w:lvl w:ilvl="6">
      <w:start w:val="1"/>
      <w:numFmt w:val="none"/>
      <w:lvlText w:val=""/>
      <w:lvlJc w:val="left"/>
      <w:pPr>
        <w:tabs>
          <w:tab w:val="num" w:pos="567"/>
        </w:tabs>
        <w:ind w:left="0" w:hanging="567"/>
      </w:pPr>
      <w:rPr>
        <w:rFonts w:hint="default"/>
      </w:rPr>
    </w:lvl>
    <w:lvl w:ilvl="7">
      <w:start w:val="1"/>
      <w:numFmt w:val="none"/>
      <w:lvlText w:val=""/>
      <w:lvlJc w:val="left"/>
      <w:pPr>
        <w:tabs>
          <w:tab w:val="num" w:pos="567"/>
        </w:tabs>
        <w:ind w:left="0" w:hanging="567"/>
      </w:pPr>
      <w:rPr>
        <w:rFonts w:hint="default"/>
      </w:rPr>
    </w:lvl>
    <w:lvl w:ilvl="8">
      <w:start w:val="1"/>
      <w:numFmt w:val="none"/>
      <w:lvlText w:val=""/>
      <w:lvlJc w:val="left"/>
      <w:pPr>
        <w:tabs>
          <w:tab w:val="num" w:pos="567"/>
        </w:tabs>
        <w:ind w:left="0" w:hanging="567"/>
      </w:pPr>
      <w:rPr>
        <w:rFonts w:hint="default"/>
      </w:rPr>
    </w:lvl>
  </w:abstractNum>
  <w:abstractNum w:abstractNumId="10" w15:restartNumberingAfterBreak="0">
    <w:nsid w:val="198527E3"/>
    <w:multiLevelType w:val="multilevel"/>
    <w:tmpl w:val="FEE68B88"/>
    <w:styleLink w:val="GTNumberedHeadings"/>
    <w:lvl w:ilvl="0">
      <w:start w:val="1"/>
      <w:numFmt w:val="decimal"/>
      <w:pStyle w:val="NumberedHeading1"/>
      <w:lvlText w:val="%1"/>
      <w:lvlJc w:val="left"/>
      <w:pPr>
        <w:ind w:left="0" w:hanging="680"/>
      </w:pPr>
      <w:rPr>
        <w:rFonts w:hint="default"/>
      </w:rPr>
    </w:lvl>
    <w:lvl w:ilvl="1">
      <w:start w:val="1"/>
      <w:numFmt w:val="decimal"/>
      <w:pStyle w:val="NumberedHeading2"/>
      <w:lvlText w:val="%1.%2"/>
      <w:lvlJc w:val="left"/>
      <w:pPr>
        <w:ind w:left="0" w:hanging="680"/>
      </w:pPr>
      <w:rPr>
        <w:rFonts w:hint="default"/>
      </w:rPr>
    </w:lvl>
    <w:lvl w:ilvl="2">
      <w:start w:val="1"/>
      <w:numFmt w:val="decimal"/>
      <w:pStyle w:val="NumberedBodyText"/>
      <w:lvlText w:val="%1.%2.%3"/>
      <w:lvlJc w:val="left"/>
      <w:pPr>
        <w:ind w:left="0" w:hanging="680"/>
      </w:pPr>
      <w:rPr>
        <w:rFonts w:hint="default"/>
      </w:rPr>
    </w:lvl>
    <w:lvl w:ilvl="3">
      <w:start w:val="1"/>
      <w:numFmt w:val="none"/>
      <w:lvlRestart w:val="0"/>
      <w:lvlText w:val=""/>
      <w:lvlJc w:val="left"/>
      <w:pPr>
        <w:ind w:left="0" w:hanging="680"/>
      </w:pPr>
      <w:rPr>
        <w:rFonts w:hint="default"/>
      </w:rPr>
    </w:lvl>
    <w:lvl w:ilvl="4">
      <w:start w:val="1"/>
      <w:numFmt w:val="none"/>
      <w:lvlRestart w:val="0"/>
      <w:lvlText w:val=""/>
      <w:lvlJc w:val="left"/>
      <w:pPr>
        <w:ind w:left="0" w:hanging="680"/>
      </w:pPr>
      <w:rPr>
        <w:rFonts w:hint="default"/>
      </w:rPr>
    </w:lvl>
    <w:lvl w:ilvl="5">
      <w:start w:val="1"/>
      <w:numFmt w:val="none"/>
      <w:lvlRestart w:val="0"/>
      <w:lvlText w:val=""/>
      <w:lvlJc w:val="left"/>
      <w:pPr>
        <w:ind w:left="0" w:hanging="680"/>
      </w:pPr>
      <w:rPr>
        <w:rFonts w:hint="default"/>
      </w:rPr>
    </w:lvl>
    <w:lvl w:ilvl="6">
      <w:start w:val="1"/>
      <w:numFmt w:val="none"/>
      <w:lvlRestart w:val="0"/>
      <w:lvlText w:val=""/>
      <w:lvlJc w:val="left"/>
      <w:pPr>
        <w:ind w:left="0" w:hanging="680"/>
      </w:pPr>
      <w:rPr>
        <w:rFonts w:hint="default"/>
      </w:rPr>
    </w:lvl>
    <w:lvl w:ilvl="7">
      <w:start w:val="1"/>
      <w:numFmt w:val="none"/>
      <w:lvlRestart w:val="0"/>
      <w:lvlText w:val=""/>
      <w:lvlJc w:val="left"/>
      <w:pPr>
        <w:ind w:left="0" w:hanging="680"/>
      </w:pPr>
      <w:rPr>
        <w:rFonts w:hint="default"/>
      </w:rPr>
    </w:lvl>
    <w:lvl w:ilvl="8">
      <w:start w:val="1"/>
      <w:numFmt w:val="none"/>
      <w:lvlRestart w:val="0"/>
      <w:lvlText w:val=""/>
      <w:lvlJc w:val="left"/>
      <w:pPr>
        <w:ind w:left="0" w:hanging="680"/>
      </w:pPr>
      <w:rPr>
        <w:rFonts w:hint="default"/>
      </w:rPr>
    </w:lvl>
  </w:abstractNum>
  <w:abstractNum w:abstractNumId="11" w15:restartNumberingAfterBreak="0">
    <w:nsid w:val="1C133282"/>
    <w:multiLevelType w:val="hybridMultilevel"/>
    <w:tmpl w:val="48CE6F12"/>
    <w:lvl w:ilvl="0" w:tplc="C9706A66">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6AD670D"/>
    <w:multiLevelType w:val="multilevel"/>
    <w:tmpl w:val="93EAF78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3917E92"/>
    <w:multiLevelType w:val="hybridMultilevel"/>
    <w:tmpl w:val="4B1AA106"/>
    <w:lvl w:ilvl="0" w:tplc="D2B05160">
      <w:start w:val="25"/>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3D545A"/>
    <w:multiLevelType w:val="multilevel"/>
    <w:tmpl w:val="D2E4F13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Titolo5"/>
      <w:lvlText w:val="%5)"/>
      <w:lvlJc w:val="left"/>
      <w:pPr>
        <w:tabs>
          <w:tab w:val="num" w:pos="1008"/>
        </w:tabs>
        <w:ind w:left="1008" w:hanging="432"/>
      </w:pPr>
    </w:lvl>
    <w:lvl w:ilvl="5">
      <w:start w:val="1"/>
      <w:numFmt w:val="lowerLetter"/>
      <w:pStyle w:val="Titolo6"/>
      <w:lvlText w:val="%6)"/>
      <w:lvlJc w:val="left"/>
      <w:pPr>
        <w:tabs>
          <w:tab w:val="num" w:pos="1152"/>
        </w:tabs>
        <w:ind w:left="1152" w:hanging="432"/>
      </w:pPr>
    </w:lvl>
    <w:lvl w:ilvl="6">
      <w:start w:val="1"/>
      <w:numFmt w:val="lowerRoman"/>
      <w:pStyle w:val="Titolo7"/>
      <w:lvlText w:val="%7)"/>
      <w:lvlJc w:val="right"/>
      <w:pPr>
        <w:tabs>
          <w:tab w:val="num" w:pos="1296"/>
        </w:tabs>
        <w:ind w:left="1296" w:hanging="288"/>
      </w:pPr>
    </w:lvl>
    <w:lvl w:ilvl="7">
      <w:start w:val="1"/>
      <w:numFmt w:val="lowerLetter"/>
      <w:pStyle w:val="Titolo8"/>
      <w:lvlText w:val="%8."/>
      <w:lvlJc w:val="left"/>
      <w:pPr>
        <w:tabs>
          <w:tab w:val="num" w:pos="1440"/>
        </w:tabs>
        <w:ind w:left="1440" w:hanging="432"/>
      </w:pPr>
    </w:lvl>
    <w:lvl w:ilvl="8">
      <w:start w:val="1"/>
      <w:numFmt w:val="lowerRoman"/>
      <w:pStyle w:val="Titolo9"/>
      <w:lvlText w:val="%9."/>
      <w:lvlJc w:val="right"/>
      <w:pPr>
        <w:tabs>
          <w:tab w:val="num" w:pos="1584"/>
        </w:tabs>
        <w:ind w:left="1584" w:hanging="144"/>
      </w:pPr>
    </w:lvl>
  </w:abstractNum>
  <w:abstractNum w:abstractNumId="16" w15:restartNumberingAfterBreak="0">
    <w:nsid w:val="39605A08"/>
    <w:multiLevelType w:val="multilevel"/>
    <w:tmpl w:val="62B065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C00FEA"/>
    <w:multiLevelType w:val="hybridMultilevel"/>
    <w:tmpl w:val="6CF8F20E"/>
    <w:lvl w:ilvl="0" w:tplc="D8FAABE2">
      <w:start w:val="1"/>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DE120E"/>
    <w:multiLevelType w:val="hybridMultilevel"/>
    <w:tmpl w:val="5F967244"/>
    <w:lvl w:ilvl="0" w:tplc="ABF42218">
      <w:start w:val="1"/>
      <w:numFmt w:val="decimal"/>
      <w:lvlText w:val="%1."/>
      <w:lvlJc w:val="left"/>
      <w:pPr>
        <w:ind w:left="1086" w:hanging="726"/>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07C08EB"/>
    <w:multiLevelType w:val="hybridMultilevel"/>
    <w:tmpl w:val="BE9601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62003EC"/>
    <w:multiLevelType w:val="multilevel"/>
    <w:tmpl w:val="190E7B38"/>
    <w:numStyleLink w:val="GTListNumber"/>
  </w:abstractNum>
  <w:abstractNum w:abstractNumId="21" w15:restartNumberingAfterBreak="0">
    <w:nsid w:val="48467B0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9B3912"/>
    <w:multiLevelType w:val="multilevel"/>
    <w:tmpl w:val="6ED8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D6E2A"/>
    <w:multiLevelType w:val="multilevel"/>
    <w:tmpl w:val="190E7B38"/>
    <w:styleLink w:val="GTListNumber"/>
    <w:lvl w:ilvl="0">
      <w:start w:val="1"/>
      <w:numFmt w:val="decimal"/>
      <w:pStyle w:val="Numeroelenco"/>
      <w:lvlText w:val="%1"/>
      <w:lvlJc w:val="left"/>
      <w:pPr>
        <w:tabs>
          <w:tab w:val="num" w:pos="284"/>
        </w:tabs>
        <w:ind w:left="284" w:hanging="284"/>
      </w:pPr>
      <w:rPr>
        <w:rFonts w:hint="default"/>
      </w:rPr>
    </w:lvl>
    <w:lvl w:ilvl="1">
      <w:start w:val="1"/>
      <w:numFmt w:val="lowerLetter"/>
      <w:pStyle w:val="Numeroelenco2"/>
      <w:lvlText w:val="%2"/>
      <w:lvlJc w:val="left"/>
      <w:pPr>
        <w:tabs>
          <w:tab w:val="num" w:pos="567"/>
        </w:tabs>
        <w:ind w:left="567" w:hanging="283"/>
      </w:pPr>
      <w:rPr>
        <w:rFonts w:hint="default"/>
      </w:rPr>
    </w:lvl>
    <w:lvl w:ilvl="2">
      <w:start w:val="1"/>
      <w:numFmt w:val="lowerRoman"/>
      <w:pStyle w:val="Numeroelenco3"/>
      <w:lvlText w:val="%3"/>
      <w:lvlJc w:val="left"/>
      <w:pPr>
        <w:tabs>
          <w:tab w:val="num" w:pos="851"/>
        </w:tabs>
        <w:ind w:left="851" w:hanging="284"/>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4230516"/>
    <w:multiLevelType w:val="hybridMultilevel"/>
    <w:tmpl w:val="BBD699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A7A4F4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A83982"/>
    <w:multiLevelType w:val="hybridMultilevel"/>
    <w:tmpl w:val="6E40004C"/>
    <w:lvl w:ilvl="0" w:tplc="F7C630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1BC3D3D"/>
    <w:multiLevelType w:val="multilevel"/>
    <w:tmpl w:val="FAE6F968"/>
    <w:styleLink w:val="GTListBullet"/>
    <w:lvl w:ilvl="0">
      <w:start w:val="1"/>
      <w:numFmt w:val="bullet"/>
      <w:pStyle w:val="Puntoelenco"/>
      <w:lvlText w:val=""/>
      <w:lvlJc w:val="left"/>
      <w:pPr>
        <w:tabs>
          <w:tab w:val="num" w:pos="284"/>
        </w:tabs>
        <w:ind w:left="284" w:hanging="284"/>
      </w:pPr>
      <w:rPr>
        <w:rFonts w:ascii="Symbol" w:hAnsi="Symbol" w:hint="default"/>
        <w:color w:val="auto"/>
      </w:rPr>
    </w:lvl>
    <w:lvl w:ilvl="1">
      <w:start w:val="1"/>
      <w:numFmt w:val="bullet"/>
      <w:pStyle w:val="Puntoelenco2"/>
      <w:lvlText w:val=""/>
      <w:lvlJc w:val="left"/>
      <w:pPr>
        <w:tabs>
          <w:tab w:val="num" w:pos="567"/>
        </w:tabs>
        <w:ind w:left="567" w:hanging="283"/>
      </w:pPr>
      <w:rPr>
        <w:rFonts w:ascii="Symbol" w:hAnsi="Symbol" w:hint="default"/>
      </w:rPr>
    </w:lvl>
    <w:lvl w:ilvl="2">
      <w:start w:val="1"/>
      <w:numFmt w:val="bullet"/>
      <w:lvlRestart w:val="0"/>
      <w:pStyle w:val="Puntoelenco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6CA25ECF"/>
    <w:multiLevelType w:val="hybridMultilevel"/>
    <w:tmpl w:val="CB4831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116140"/>
    <w:multiLevelType w:val="hybridMultilevel"/>
    <w:tmpl w:val="AEAA31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63A51A6"/>
    <w:multiLevelType w:val="hybridMultilevel"/>
    <w:tmpl w:val="2EB42A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87242529">
    <w:abstractNumId w:val="8"/>
  </w:num>
  <w:num w:numId="2" w16cid:durableId="1077824942">
    <w:abstractNumId w:val="27"/>
  </w:num>
  <w:num w:numId="3" w16cid:durableId="766191947">
    <w:abstractNumId w:val="23"/>
  </w:num>
  <w:num w:numId="4" w16cid:durableId="48572503">
    <w:abstractNumId w:val="10"/>
  </w:num>
  <w:num w:numId="5" w16cid:durableId="1898465920">
    <w:abstractNumId w:val="7"/>
  </w:num>
  <w:num w:numId="6" w16cid:durableId="157158637">
    <w:abstractNumId w:val="4"/>
  </w:num>
  <w:num w:numId="7" w16cid:durableId="166097240">
    <w:abstractNumId w:val="12"/>
  </w:num>
  <w:num w:numId="8" w16cid:durableId="1424645995">
    <w:abstractNumId w:val="9"/>
  </w:num>
  <w:num w:numId="9" w16cid:durableId="2080206700">
    <w:abstractNumId w:val="25"/>
  </w:num>
  <w:num w:numId="10" w16cid:durableId="5987455">
    <w:abstractNumId w:val="21"/>
  </w:num>
  <w:num w:numId="11" w16cid:durableId="2141142569">
    <w:abstractNumId w:val="15"/>
  </w:num>
  <w:num w:numId="12" w16cid:durableId="1592010064">
    <w:abstractNumId w:val="27"/>
  </w:num>
  <w:num w:numId="13" w16cid:durableId="349141115">
    <w:abstractNumId w:val="3"/>
  </w:num>
  <w:num w:numId="14" w16cid:durableId="1497502889">
    <w:abstractNumId w:val="2"/>
  </w:num>
  <w:num w:numId="15" w16cid:durableId="1827936385">
    <w:abstractNumId w:val="20"/>
  </w:num>
  <w:num w:numId="16" w16cid:durableId="1430618015">
    <w:abstractNumId w:val="1"/>
  </w:num>
  <w:num w:numId="17" w16cid:durableId="1314943137">
    <w:abstractNumId w:val="0"/>
  </w:num>
  <w:num w:numId="18" w16cid:durableId="69814393">
    <w:abstractNumId w:val="10"/>
  </w:num>
  <w:num w:numId="19" w16cid:durableId="339357520">
    <w:abstractNumId w:val="9"/>
  </w:num>
  <w:num w:numId="20" w16cid:durableId="275406823">
    <w:abstractNumId w:val="7"/>
  </w:num>
  <w:num w:numId="21" w16cid:durableId="2095198215">
    <w:abstractNumId w:val="4"/>
  </w:num>
  <w:num w:numId="22" w16cid:durableId="836306503">
    <w:abstractNumId w:val="12"/>
  </w:num>
  <w:num w:numId="23" w16cid:durableId="1358699816">
    <w:abstractNumId w:val="22"/>
  </w:num>
  <w:num w:numId="24" w16cid:durableId="57173885">
    <w:abstractNumId w:val="14"/>
  </w:num>
  <w:num w:numId="25" w16cid:durableId="1234124292">
    <w:abstractNumId w:val="24"/>
  </w:num>
  <w:num w:numId="26" w16cid:durableId="891648687">
    <w:abstractNumId w:val="29"/>
  </w:num>
  <w:num w:numId="27" w16cid:durableId="1209609438">
    <w:abstractNumId w:val="30"/>
  </w:num>
  <w:num w:numId="28" w16cid:durableId="176965291">
    <w:abstractNumId w:val="18"/>
  </w:num>
  <w:num w:numId="29" w16cid:durableId="1671713756">
    <w:abstractNumId w:val="13"/>
  </w:num>
  <w:num w:numId="30" w16cid:durableId="588780360">
    <w:abstractNumId w:val="11"/>
  </w:num>
  <w:num w:numId="31" w16cid:durableId="2049452665">
    <w:abstractNumId w:val="28"/>
  </w:num>
  <w:num w:numId="32" w16cid:durableId="1343969488">
    <w:abstractNumId w:val="16"/>
  </w:num>
  <w:num w:numId="33" w16cid:durableId="1232035875">
    <w:abstractNumId w:val="6"/>
  </w:num>
  <w:num w:numId="34" w16cid:durableId="1468819854">
    <w:abstractNumId w:val="19"/>
  </w:num>
  <w:num w:numId="35" w16cid:durableId="2060083585">
    <w:abstractNumId w:val="17"/>
  </w:num>
  <w:num w:numId="36" w16cid:durableId="1170871463">
    <w:abstractNumId w:val="26"/>
  </w:num>
  <w:num w:numId="37" w16cid:durableId="2347537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A28" w:allStyles="0" w:customStyles="0" w:latentStyles="0" w:stylesInUse="1" w:headingStyles="1" w:numberingStyles="0" w:tableStyles="0" w:directFormattingOnRuns="0" w:directFormattingOnParagraphs="1" w:directFormattingOnNumbering="0" w:directFormattingOnTables="1" w:clearFormatting="1" w:top3HeadingStyles="1" w:visibleStyles="0" w:alternateStyleNames="0"/>
  <w:defaultTabStop w:val="720"/>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_logo_file" w:val="GT_Logo_2024.png"/>
    <w:docVar w:name="dv_partners" w:val="true"/>
    <w:docVar w:name="dv_select_office" w:val="FALSE"/>
    <w:docVar w:name="dv_service" w:val="Corporate Finance"/>
    <w:docVar w:name="dv_statement" w:val="© 2024 Grant Thornton International Ltd. All rights reserved."/>
    <w:docVar w:name="dv_trad_addr" w:val="Address Line 1_x000d__x000a_Address Line 2_x000d__x000a_Address Line 3_x000d__x000a_Address Line 4"/>
    <w:docVar w:name="dv_trad_fax" w:val="+XX (X)XX XXX XXXX"/>
    <w:docVar w:name="dv_trad_name" w:val="Grant Thornton International Ltd."/>
    <w:docVar w:name="dv_trad_tel" w:val="+XX (X)XX XXX XXXX"/>
    <w:docVar w:name="dv_trad_web" w:val="www.gtsample.com"/>
  </w:docVars>
  <w:rsids>
    <w:rsidRoot w:val="005967F4"/>
    <w:rsid w:val="00000F0E"/>
    <w:rsid w:val="000017FA"/>
    <w:rsid w:val="00004B3A"/>
    <w:rsid w:val="000102AB"/>
    <w:rsid w:val="00011EEC"/>
    <w:rsid w:val="00021E71"/>
    <w:rsid w:val="00027709"/>
    <w:rsid w:val="00030DEA"/>
    <w:rsid w:val="0003379E"/>
    <w:rsid w:val="000448BC"/>
    <w:rsid w:val="00044A80"/>
    <w:rsid w:val="00045A0A"/>
    <w:rsid w:val="00046853"/>
    <w:rsid w:val="00051E44"/>
    <w:rsid w:val="000550FF"/>
    <w:rsid w:val="00055E82"/>
    <w:rsid w:val="00056C12"/>
    <w:rsid w:val="00062A85"/>
    <w:rsid w:val="00064D5B"/>
    <w:rsid w:val="00065258"/>
    <w:rsid w:val="00070663"/>
    <w:rsid w:val="00075240"/>
    <w:rsid w:val="0007632F"/>
    <w:rsid w:val="0007734A"/>
    <w:rsid w:val="00081279"/>
    <w:rsid w:val="00081B64"/>
    <w:rsid w:val="00083338"/>
    <w:rsid w:val="00084EE5"/>
    <w:rsid w:val="00092C78"/>
    <w:rsid w:val="00094C0E"/>
    <w:rsid w:val="000953E7"/>
    <w:rsid w:val="00096152"/>
    <w:rsid w:val="000974FA"/>
    <w:rsid w:val="000A0B72"/>
    <w:rsid w:val="000A1C76"/>
    <w:rsid w:val="000A1D1B"/>
    <w:rsid w:val="000A5B0C"/>
    <w:rsid w:val="000B6541"/>
    <w:rsid w:val="000C1738"/>
    <w:rsid w:val="000C4085"/>
    <w:rsid w:val="000C58E0"/>
    <w:rsid w:val="000C601A"/>
    <w:rsid w:val="000D0DC7"/>
    <w:rsid w:val="000D4AB7"/>
    <w:rsid w:val="000E001B"/>
    <w:rsid w:val="000F28AE"/>
    <w:rsid w:val="000F4915"/>
    <w:rsid w:val="000F5636"/>
    <w:rsid w:val="000F798C"/>
    <w:rsid w:val="000F7BE9"/>
    <w:rsid w:val="00100473"/>
    <w:rsid w:val="00105783"/>
    <w:rsid w:val="00106F5E"/>
    <w:rsid w:val="0012232F"/>
    <w:rsid w:val="0012555B"/>
    <w:rsid w:val="00125E30"/>
    <w:rsid w:val="00125E6B"/>
    <w:rsid w:val="00131A3C"/>
    <w:rsid w:val="00131A91"/>
    <w:rsid w:val="00134F57"/>
    <w:rsid w:val="00140CA7"/>
    <w:rsid w:val="001433D8"/>
    <w:rsid w:val="00146443"/>
    <w:rsid w:val="001468E4"/>
    <w:rsid w:val="001537D9"/>
    <w:rsid w:val="00154297"/>
    <w:rsid w:val="001558E1"/>
    <w:rsid w:val="00155BE5"/>
    <w:rsid w:val="00157249"/>
    <w:rsid w:val="0015746B"/>
    <w:rsid w:val="0015790F"/>
    <w:rsid w:val="00163048"/>
    <w:rsid w:val="00163BCC"/>
    <w:rsid w:val="00167EDF"/>
    <w:rsid w:val="00167F0A"/>
    <w:rsid w:val="001705E4"/>
    <w:rsid w:val="00170BFF"/>
    <w:rsid w:val="00170D99"/>
    <w:rsid w:val="00170E57"/>
    <w:rsid w:val="00171341"/>
    <w:rsid w:val="001740A7"/>
    <w:rsid w:val="0017473E"/>
    <w:rsid w:val="001822C8"/>
    <w:rsid w:val="00183659"/>
    <w:rsid w:val="00190905"/>
    <w:rsid w:val="001A3125"/>
    <w:rsid w:val="001A32CE"/>
    <w:rsid w:val="001A57AD"/>
    <w:rsid w:val="001A62F4"/>
    <w:rsid w:val="001A7F1D"/>
    <w:rsid w:val="001B204C"/>
    <w:rsid w:val="001B212C"/>
    <w:rsid w:val="001B3E0C"/>
    <w:rsid w:val="001C1203"/>
    <w:rsid w:val="001C14B3"/>
    <w:rsid w:val="001C75B4"/>
    <w:rsid w:val="001D06E2"/>
    <w:rsid w:val="001D14D4"/>
    <w:rsid w:val="001D3166"/>
    <w:rsid w:val="001E0E29"/>
    <w:rsid w:val="001E625F"/>
    <w:rsid w:val="001E6C72"/>
    <w:rsid w:val="001F08F8"/>
    <w:rsid w:val="001F16BE"/>
    <w:rsid w:val="001F22CE"/>
    <w:rsid w:val="001F7048"/>
    <w:rsid w:val="001F770D"/>
    <w:rsid w:val="001F7C09"/>
    <w:rsid w:val="001F7C37"/>
    <w:rsid w:val="001F7E30"/>
    <w:rsid w:val="00200252"/>
    <w:rsid w:val="00203D4C"/>
    <w:rsid w:val="00206427"/>
    <w:rsid w:val="002125F8"/>
    <w:rsid w:val="00214067"/>
    <w:rsid w:val="002223F1"/>
    <w:rsid w:val="002369DD"/>
    <w:rsid w:val="00242F9C"/>
    <w:rsid w:val="00244CF3"/>
    <w:rsid w:val="00247FFC"/>
    <w:rsid w:val="00250B7C"/>
    <w:rsid w:val="00251CCC"/>
    <w:rsid w:val="002637B5"/>
    <w:rsid w:val="002664E7"/>
    <w:rsid w:val="00266C3B"/>
    <w:rsid w:val="00267544"/>
    <w:rsid w:val="00270EF2"/>
    <w:rsid w:val="002749F6"/>
    <w:rsid w:val="0027734A"/>
    <w:rsid w:val="002836AB"/>
    <w:rsid w:val="0029380D"/>
    <w:rsid w:val="00293BBD"/>
    <w:rsid w:val="0029488C"/>
    <w:rsid w:val="002950EA"/>
    <w:rsid w:val="0029651C"/>
    <w:rsid w:val="002A081E"/>
    <w:rsid w:val="002A08CA"/>
    <w:rsid w:val="002A1638"/>
    <w:rsid w:val="002A3D92"/>
    <w:rsid w:val="002A5FA9"/>
    <w:rsid w:val="002A7F41"/>
    <w:rsid w:val="002B0416"/>
    <w:rsid w:val="002B29C7"/>
    <w:rsid w:val="002B4C82"/>
    <w:rsid w:val="002B6E03"/>
    <w:rsid w:val="002B7CF5"/>
    <w:rsid w:val="002C06AD"/>
    <w:rsid w:val="002C143E"/>
    <w:rsid w:val="002C1F46"/>
    <w:rsid w:val="002C73C1"/>
    <w:rsid w:val="002D0422"/>
    <w:rsid w:val="002D1157"/>
    <w:rsid w:val="002E196E"/>
    <w:rsid w:val="002E54B4"/>
    <w:rsid w:val="002E5EFC"/>
    <w:rsid w:val="002E6AC9"/>
    <w:rsid w:val="002E6CA1"/>
    <w:rsid w:val="002F4DB2"/>
    <w:rsid w:val="002F76BB"/>
    <w:rsid w:val="0030060C"/>
    <w:rsid w:val="00300D71"/>
    <w:rsid w:val="00302B24"/>
    <w:rsid w:val="003031A6"/>
    <w:rsid w:val="00303A6A"/>
    <w:rsid w:val="003044E2"/>
    <w:rsid w:val="00305D5D"/>
    <w:rsid w:val="0031076B"/>
    <w:rsid w:val="00311427"/>
    <w:rsid w:val="00312177"/>
    <w:rsid w:val="00313C48"/>
    <w:rsid w:val="00314572"/>
    <w:rsid w:val="0031615E"/>
    <w:rsid w:val="00326728"/>
    <w:rsid w:val="0032691A"/>
    <w:rsid w:val="00327500"/>
    <w:rsid w:val="003323B4"/>
    <w:rsid w:val="003338E7"/>
    <w:rsid w:val="003373F0"/>
    <w:rsid w:val="00340837"/>
    <w:rsid w:val="00341A74"/>
    <w:rsid w:val="00342FC2"/>
    <w:rsid w:val="0034740A"/>
    <w:rsid w:val="003508AE"/>
    <w:rsid w:val="00363160"/>
    <w:rsid w:val="00365550"/>
    <w:rsid w:val="00365D95"/>
    <w:rsid w:val="0037311A"/>
    <w:rsid w:val="00376EC6"/>
    <w:rsid w:val="00384B38"/>
    <w:rsid w:val="00387934"/>
    <w:rsid w:val="00387BCE"/>
    <w:rsid w:val="00391E52"/>
    <w:rsid w:val="00396576"/>
    <w:rsid w:val="003969A7"/>
    <w:rsid w:val="00397C64"/>
    <w:rsid w:val="003A02B3"/>
    <w:rsid w:val="003A79ED"/>
    <w:rsid w:val="003B21DE"/>
    <w:rsid w:val="003B2E7D"/>
    <w:rsid w:val="003B3F32"/>
    <w:rsid w:val="003B79EB"/>
    <w:rsid w:val="003C0475"/>
    <w:rsid w:val="003C1741"/>
    <w:rsid w:val="003C4FDE"/>
    <w:rsid w:val="003D409F"/>
    <w:rsid w:val="003D5BF6"/>
    <w:rsid w:val="003E4F2B"/>
    <w:rsid w:val="003E6D68"/>
    <w:rsid w:val="003F039E"/>
    <w:rsid w:val="003F1E31"/>
    <w:rsid w:val="003F1FDC"/>
    <w:rsid w:val="003F35E7"/>
    <w:rsid w:val="003F4D22"/>
    <w:rsid w:val="003F76C5"/>
    <w:rsid w:val="004004BA"/>
    <w:rsid w:val="004024D4"/>
    <w:rsid w:val="00403665"/>
    <w:rsid w:val="004055DC"/>
    <w:rsid w:val="004070F0"/>
    <w:rsid w:val="0041174C"/>
    <w:rsid w:val="00417807"/>
    <w:rsid w:val="00421809"/>
    <w:rsid w:val="00421B0E"/>
    <w:rsid w:val="00422681"/>
    <w:rsid w:val="004235E8"/>
    <w:rsid w:val="00425050"/>
    <w:rsid w:val="00434046"/>
    <w:rsid w:val="004354E4"/>
    <w:rsid w:val="00440714"/>
    <w:rsid w:val="004429CF"/>
    <w:rsid w:val="00446BC6"/>
    <w:rsid w:val="00453748"/>
    <w:rsid w:val="004552C7"/>
    <w:rsid w:val="00456D2B"/>
    <w:rsid w:val="00462AFF"/>
    <w:rsid w:val="004674A3"/>
    <w:rsid w:val="00473511"/>
    <w:rsid w:val="00474D93"/>
    <w:rsid w:val="00475A65"/>
    <w:rsid w:val="00475E37"/>
    <w:rsid w:val="004777AD"/>
    <w:rsid w:val="00482446"/>
    <w:rsid w:val="00483729"/>
    <w:rsid w:val="0049021F"/>
    <w:rsid w:val="00490D0C"/>
    <w:rsid w:val="00490F29"/>
    <w:rsid w:val="004919D3"/>
    <w:rsid w:val="00492223"/>
    <w:rsid w:val="00495019"/>
    <w:rsid w:val="004A0979"/>
    <w:rsid w:val="004A24AF"/>
    <w:rsid w:val="004A2F78"/>
    <w:rsid w:val="004A509B"/>
    <w:rsid w:val="004A77BC"/>
    <w:rsid w:val="004B1483"/>
    <w:rsid w:val="004B1FCD"/>
    <w:rsid w:val="004C05E9"/>
    <w:rsid w:val="004C3891"/>
    <w:rsid w:val="004C6651"/>
    <w:rsid w:val="004C71E8"/>
    <w:rsid w:val="004C7640"/>
    <w:rsid w:val="004D02D2"/>
    <w:rsid w:val="004D152F"/>
    <w:rsid w:val="004D5771"/>
    <w:rsid w:val="004D7E42"/>
    <w:rsid w:val="004E0E25"/>
    <w:rsid w:val="004E1C4C"/>
    <w:rsid w:val="004E1DE1"/>
    <w:rsid w:val="004E25ED"/>
    <w:rsid w:val="004E4B11"/>
    <w:rsid w:val="004E608F"/>
    <w:rsid w:val="004F1EEB"/>
    <w:rsid w:val="004F2D53"/>
    <w:rsid w:val="0050146C"/>
    <w:rsid w:val="00504CB4"/>
    <w:rsid w:val="0050593C"/>
    <w:rsid w:val="00512A58"/>
    <w:rsid w:val="00514B16"/>
    <w:rsid w:val="00514F8C"/>
    <w:rsid w:val="0052035F"/>
    <w:rsid w:val="00521224"/>
    <w:rsid w:val="005242FF"/>
    <w:rsid w:val="00525609"/>
    <w:rsid w:val="00525AEE"/>
    <w:rsid w:val="005309BD"/>
    <w:rsid w:val="0053470B"/>
    <w:rsid w:val="00541933"/>
    <w:rsid w:val="005426A6"/>
    <w:rsid w:val="00542CB6"/>
    <w:rsid w:val="005440D7"/>
    <w:rsid w:val="005503DC"/>
    <w:rsid w:val="005528A7"/>
    <w:rsid w:val="00553D26"/>
    <w:rsid w:val="005638F3"/>
    <w:rsid w:val="0056399E"/>
    <w:rsid w:val="00565026"/>
    <w:rsid w:val="005700D0"/>
    <w:rsid w:val="00574F1A"/>
    <w:rsid w:val="0057579D"/>
    <w:rsid w:val="00577B02"/>
    <w:rsid w:val="00581EF4"/>
    <w:rsid w:val="00583D74"/>
    <w:rsid w:val="00584C1B"/>
    <w:rsid w:val="005876F4"/>
    <w:rsid w:val="005967F4"/>
    <w:rsid w:val="005A1BB4"/>
    <w:rsid w:val="005A21C1"/>
    <w:rsid w:val="005A4906"/>
    <w:rsid w:val="005B15C5"/>
    <w:rsid w:val="005B2B92"/>
    <w:rsid w:val="005B327D"/>
    <w:rsid w:val="005B7A1C"/>
    <w:rsid w:val="005C0C6A"/>
    <w:rsid w:val="005C11D3"/>
    <w:rsid w:val="005C2D61"/>
    <w:rsid w:val="005C2E0B"/>
    <w:rsid w:val="005C3B54"/>
    <w:rsid w:val="005C3BFB"/>
    <w:rsid w:val="005C41C3"/>
    <w:rsid w:val="005D16A3"/>
    <w:rsid w:val="005D2514"/>
    <w:rsid w:val="005D26D0"/>
    <w:rsid w:val="005D4785"/>
    <w:rsid w:val="005D67C8"/>
    <w:rsid w:val="005D714C"/>
    <w:rsid w:val="005E15EF"/>
    <w:rsid w:val="005E2A4E"/>
    <w:rsid w:val="005E2EC8"/>
    <w:rsid w:val="005E657D"/>
    <w:rsid w:val="005F5504"/>
    <w:rsid w:val="005F58C8"/>
    <w:rsid w:val="005F5A13"/>
    <w:rsid w:val="005F7DBB"/>
    <w:rsid w:val="00603409"/>
    <w:rsid w:val="006035FE"/>
    <w:rsid w:val="00610441"/>
    <w:rsid w:val="00611928"/>
    <w:rsid w:val="006134D5"/>
    <w:rsid w:val="0061449F"/>
    <w:rsid w:val="00614A86"/>
    <w:rsid w:val="00614CCE"/>
    <w:rsid w:val="0061668A"/>
    <w:rsid w:val="00622CD1"/>
    <w:rsid w:val="006247A4"/>
    <w:rsid w:val="00634CC6"/>
    <w:rsid w:val="00637CB8"/>
    <w:rsid w:val="00641105"/>
    <w:rsid w:val="00641D71"/>
    <w:rsid w:val="0064288D"/>
    <w:rsid w:val="00642DD3"/>
    <w:rsid w:val="00642F0C"/>
    <w:rsid w:val="006436BE"/>
    <w:rsid w:val="00651427"/>
    <w:rsid w:val="006531E0"/>
    <w:rsid w:val="00653298"/>
    <w:rsid w:val="00654C88"/>
    <w:rsid w:val="00657C58"/>
    <w:rsid w:val="00661551"/>
    <w:rsid w:val="00662114"/>
    <w:rsid w:val="00662FBC"/>
    <w:rsid w:val="006767C0"/>
    <w:rsid w:val="00682DC4"/>
    <w:rsid w:val="006831BB"/>
    <w:rsid w:val="00684898"/>
    <w:rsid w:val="006866E8"/>
    <w:rsid w:val="0069645A"/>
    <w:rsid w:val="006A0B0B"/>
    <w:rsid w:val="006B0306"/>
    <w:rsid w:val="006B22AB"/>
    <w:rsid w:val="006B23A5"/>
    <w:rsid w:val="006B2F51"/>
    <w:rsid w:val="006B6995"/>
    <w:rsid w:val="006B699E"/>
    <w:rsid w:val="006C0FD0"/>
    <w:rsid w:val="006C44F2"/>
    <w:rsid w:val="006C7926"/>
    <w:rsid w:val="006D256F"/>
    <w:rsid w:val="006D4F1A"/>
    <w:rsid w:val="006D7930"/>
    <w:rsid w:val="006D7B70"/>
    <w:rsid w:val="006E1798"/>
    <w:rsid w:val="006E1FD2"/>
    <w:rsid w:val="006E2039"/>
    <w:rsid w:val="006E3665"/>
    <w:rsid w:val="006E5D2D"/>
    <w:rsid w:val="006E5E25"/>
    <w:rsid w:val="006E663B"/>
    <w:rsid w:val="006E71F3"/>
    <w:rsid w:val="006E7529"/>
    <w:rsid w:val="006E7908"/>
    <w:rsid w:val="006F0718"/>
    <w:rsid w:val="006F5414"/>
    <w:rsid w:val="006F5791"/>
    <w:rsid w:val="00705859"/>
    <w:rsid w:val="00705D2C"/>
    <w:rsid w:val="00710501"/>
    <w:rsid w:val="00710564"/>
    <w:rsid w:val="0071076B"/>
    <w:rsid w:val="007122C0"/>
    <w:rsid w:val="0071362C"/>
    <w:rsid w:val="007160C9"/>
    <w:rsid w:val="00720C20"/>
    <w:rsid w:val="00725861"/>
    <w:rsid w:val="007278CB"/>
    <w:rsid w:val="00731E21"/>
    <w:rsid w:val="00731FA1"/>
    <w:rsid w:val="007338B8"/>
    <w:rsid w:val="00733DC9"/>
    <w:rsid w:val="0074064E"/>
    <w:rsid w:val="00747F43"/>
    <w:rsid w:val="00752998"/>
    <w:rsid w:val="00767171"/>
    <w:rsid w:val="00771B29"/>
    <w:rsid w:val="00774A76"/>
    <w:rsid w:val="0077572F"/>
    <w:rsid w:val="00776DD9"/>
    <w:rsid w:val="00780507"/>
    <w:rsid w:val="007814F2"/>
    <w:rsid w:val="00786699"/>
    <w:rsid w:val="007867BC"/>
    <w:rsid w:val="007867DC"/>
    <w:rsid w:val="00787370"/>
    <w:rsid w:val="00787C54"/>
    <w:rsid w:val="00790FB5"/>
    <w:rsid w:val="00793166"/>
    <w:rsid w:val="007932B1"/>
    <w:rsid w:val="007949E3"/>
    <w:rsid w:val="00794B07"/>
    <w:rsid w:val="00794B4C"/>
    <w:rsid w:val="007951FD"/>
    <w:rsid w:val="007A6DEE"/>
    <w:rsid w:val="007B0239"/>
    <w:rsid w:val="007B0409"/>
    <w:rsid w:val="007B26EA"/>
    <w:rsid w:val="007B3E25"/>
    <w:rsid w:val="007C05DE"/>
    <w:rsid w:val="007C2E28"/>
    <w:rsid w:val="007C4AB8"/>
    <w:rsid w:val="007D59B9"/>
    <w:rsid w:val="007E0355"/>
    <w:rsid w:val="007E25BD"/>
    <w:rsid w:val="007E2665"/>
    <w:rsid w:val="007E2FB2"/>
    <w:rsid w:val="007E3EB6"/>
    <w:rsid w:val="007E5645"/>
    <w:rsid w:val="007E5B8A"/>
    <w:rsid w:val="007E5FDB"/>
    <w:rsid w:val="007F3764"/>
    <w:rsid w:val="007F40F6"/>
    <w:rsid w:val="007F4BCF"/>
    <w:rsid w:val="007F4C87"/>
    <w:rsid w:val="007F6B40"/>
    <w:rsid w:val="00801183"/>
    <w:rsid w:val="00801F77"/>
    <w:rsid w:val="008057AE"/>
    <w:rsid w:val="00806943"/>
    <w:rsid w:val="00807514"/>
    <w:rsid w:val="00814062"/>
    <w:rsid w:val="00817244"/>
    <w:rsid w:val="00817739"/>
    <w:rsid w:val="0081773D"/>
    <w:rsid w:val="00822E25"/>
    <w:rsid w:val="00832B5A"/>
    <w:rsid w:val="00833891"/>
    <w:rsid w:val="0083629E"/>
    <w:rsid w:val="00840247"/>
    <w:rsid w:val="00841E99"/>
    <w:rsid w:val="008454E0"/>
    <w:rsid w:val="00847818"/>
    <w:rsid w:val="00851E98"/>
    <w:rsid w:val="00874428"/>
    <w:rsid w:val="00875A90"/>
    <w:rsid w:val="00881F6B"/>
    <w:rsid w:val="0088437A"/>
    <w:rsid w:val="008972C3"/>
    <w:rsid w:val="008A53BF"/>
    <w:rsid w:val="008A7B15"/>
    <w:rsid w:val="008B07AA"/>
    <w:rsid w:val="008B41F4"/>
    <w:rsid w:val="008B54BA"/>
    <w:rsid w:val="008C11ED"/>
    <w:rsid w:val="008C7304"/>
    <w:rsid w:val="008D225A"/>
    <w:rsid w:val="008E1062"/>
    <w:rsid w:val="008F0BE2"/>
    <w:rsid w:val="008F1255"/>
    <w:rsid w:val="008F216A"/>
    <w:rsid w:val="008F275D"/>
    <w:rsid w:val="008F48AB"/>
    <w:rsid w:val="00900149"/>
    <w:rsid w:val="009001D8"/>
    <w:rsid w:val="00903FC3"/>
    <w:rsid w:val="00904E64"/>
    <w:rsid w:val="009054FC"/>
    <w:rsid w:val="00912DC1"/>
    <w:rsid w:val="00914458"/>
    <w:rsid w:val="00915D6C"/>
    <w:rsid w:val="00923CC8"/>
    <w:rsid w:val="00923EF6"/>
    <w:rsid w:val="00924B3A"/>
    <w:rsid w:val="009273A0"/>
    <w:rsid w:val="00927667"/>
    <w:rsid w:val="00935DC5"/>
    <w:rsid w:val="00936E4C"/>
    <w:rsid w:val="00941AB8"/>
    <w:rsid w:val="00955B5A"/>
    <w:rsid w:val="0095605E"/>
    <w:rsid w:val="00957632"/>
    <w:rsid w:val="0096028A"/>
    <w:rsid w:val="00962C2E"/>
    <w:rsid w:val="0096342C"/>
    <w:rsid w:val="00971921"/>
    <w:rsid w:val="00973241"/>
    <w:rsid w:val="00975C49"/>
    <w:rsid w:val="00975EAF"/>
    <w:rsid w:val="00984287"/>
    <w:rsid w:val="00986BD9"/>
    <w:rsid w:val="00987BF4"/>
    <w:rsid w:val="00991606"/>
    <w:rsid w:val="009926C0"/>
    <w:rsid w:val="00995B4C"/>
    <w:rsid w:val="00997E8B"/>
    <w:rsid w:val="009A0766"/>
    <w:rsid w:val="009B4279"/>
    <w:rsid w:val="009B653F"/>
    <w:rsid w:val="009B691C"/>
    <w:rsid w:val="009C1814"/>
    <w:rsid w:val="009C37D6"/>
    <w:rsid w:val="009C7352"/>
    <w:rsid w:val="009C76C3"/>
    <w:rsid w:val="009C794A"/>
    <w:rsid w:val="009D0EBD"/>
    <w:rsid w:val="009D3D9B"/>
    <w:rsid w:val="009D5AFB"/>
    <w:rsid w:val="009D69CD"/>
    <w:rsid w:val="009D7493"/>
    <w:rsid w:val="009E06CA"/>
    <w:rsid w:val="009E2496"/>
    <w:rsid w:val="009E5945"/>
    <w:rsid w:val="009E59E2"/>
    <w:rsid w:val="009E5F7C"/>
    <w:rsid w:val="009E6877"/>
    <w:rsid w:val="009F21D1"/>
    <w:rsid w:val="009F2A91"/>
    <w:rsid w:val="009F4251"/>
    <w:rsid w:val="009F5C62"/>
    <w:rsid w:val="00A00D1B"/>
    <w:rsid w:val="00A0240D"/>
    <w:rsid w:val="00A035F8"/>
    <w:rsid w:val="00A0500F"/>
    <w:rsid w:val="00A14D05"/>
    <w:rsid w:val="00A25818"/>
    <w:rsid w:val="00A3196C"/>
    <w:rsid w:val="00A322C5"/>
    <w:rsid w:val="00A3281A"/>
    <w:rsid w:val="00A32A28"/>
    <w:rsid w:val="00A35682"/>
    <w:rsid w:val="00A358E4"/>
    <w:rsid w:val="00A361C1"/>
    <w:rsid w:val="00A417DD"/>
    <w:rsid w:val="00A424A8"/>
    <w:rsid w:val="00A42DD9"/>
    <w:rsid w:val="00A43890"/>
    <w:rsid w:val="00A46047"/>
    <w:rsid w:val="00A46FD6"/>
    <w:rsid w:val="00A54DC8"/>
    <w:rsid w:val="00A55AEC"/>
    <w:rsid w:val="00A56AE4"/>
    <w:rsid w:val="00A6006C"/>
    <w:rsid w:val="00A65365"/>
    <w:rsid w:val="00A706EF"/>
    <w:rsid w:val="00A715D2"/>
    <w:rsid w:val="00A717B6"/>
    <w:rsid w:val="00A72003"/>
    <w:rsid w:val="00A73B28"/>
    <w:rsid w:val="00A7547D"/>
    <w:rsid w:val="00A763DF"/>
    <w:rsid w:val="00A838F4"/>
    <w:rsid w:val="00A84F27"/>
    <w:rsid w:val="00A86B75"/>
    <w:rsid w:val="00A90170"/>
    <w:rsid w:val="00A91D77"/>
    <w:rsid w:val="00A93E2C"/>
    <w:rsid w:val="00A95253"/>
    <w:rsid w:val="00A960A6"/>
    <w:rsid w:val="00A96321"/>
    <w:rsid w:val="00AA6696"/>
    <w:rsid w:val="00AB4E14"/>
    <w:rsid w:val="00AB5362"/>
    <w:rsid w:val="00AB70A4"/>
    <w:rsid w:val="00AB755A"/>
    <w:rsid w:val="00AC2F30"/>
    <w:rsid w:val="00AC3945"/>
    <w:rsid w:val="00AC691E"/>
    <w:rsid w:val="00AC6FAD"/>
    <w:rsid w:val="00AD010F"/>
    <w:rsid w:val="00AD113B"/>
    <w:rsid w:val="00AD21AE"/>
    <w:rsid w:val="00AD6648"/>
    <w:rsid w:val="00AE098E"/>
    <w:rsid w:val="00AE0C5A"/>
    <w:rsid w:val="00AE1C25"/>
    <w:rsid w:val="00AE3B0A"/>
    <w:rsid w:val="00AF4870"/>
    <w:rsid w:val="00AF5158"/>
    <w:rsid w:val="00AF66D5"/>
    <w:rsid w:val="00AF792B"/>
    <w:rsid w:val="00B041ED"/>
    <w:rsid w:val="00B045DC"/>
    <w:rsid w:val="00B06775"/>
    <w:rsid w:val="00B12132"/>
    <w:rsid w:val="00B12B1E"/>
    <w:rsid w:val="00B153F0"/>
    <w:rsid w:val="00B27771"/>
    <w:rsid w:val="00B34499"/>
    <w:rsid w:val="00B361AC"/>
    <w:rsid w:val="00B36418"/>
    <w:rsid w:val="00B400DA"/>
    <w:rsid w:val="00B42D3E"/>
    <w:rsid w:val="00B42FD0"/>
    <w:rsid w:val="00B45DD6"/>
    <w:rsid w:val="00B47FDA"/>
    <w:rsid w:val="00B52FDB"/>
    <w:rsid w:val="00B5672E"/>
    <w:rsid w:val="00B74022"/>
    <w:rsid w:val="00B741AB"/>
    <w:rsid w:val="00B84157"/>
    <w:rsid w:val="00B8737D"/>
    <w:rsid w:val="00B90F75"/>
    <w:rsid w:val="00B9438C"/>
    <w:rsid w:val="00BA0225"/>
    <w:rsid w:val="00BA02F9"/>
    <w:rsid w:val="00BA5044"/>
    <w:rsid w:val="00BA6422"/>
    <w:rsid w:val="00BA7312"/>
    <w:rsid w:val="00BA7814"/>
    <w:rsid w:val="00BA7A74"/>
    <w:rsid w:val="00BB34FB"/>
    <w:rsid w:val="00BC0472"/>
    <w:rsid w:val="00BC29D4"/>
    <w:rsid w:val="00BC4738"/>
    <w:rsid w:val="00BC5414"/>
    <w:rsid w:val="00BD1CF9"/>
    <w:rsid w:val="00BD3AC8"/>
    <w:rsid w:val="00BD3AFA"/>
    <w:rsid w:val="00BD42F6"/>
    <w:rsid w:val="00BE08E2"/>
    <w:rsid w:val="00BE0B41"/>
    <w:rsid w:val="00BE12EF"/>
    <w:rsid w:val="00BE548F"/>
    <w:rsid w:val="00BE5DCF"/>
    <w:rsid w:val="00BF2020"/>
    <w:rsid w:val="00BF26DB"/>
    <w:rsid w:val="00BF5910"/>
    <w:rsid w:val="00BF7649"/>
    <w:rsid w:val="00C141E9"/>
    <w:rsid w:val="00C15D9D"/>
    <w:rsid w:val="00C16EB5"/>
    <w:rsid w:val="00C25384"/>
    <w:rsid w:val="00C264DC"/>
    <w:rsid w:val="00C3387B"/>
    <w:rsid w:val="00C3551A"/>
    <w:rsid w:val="00C45029"/>
    <w:rsid w:val="00C460B0"/>
    <w:rsid w:val="00C47019"/>
    <w:rsid w:val="00C50950"/>
    <w:rsid w:val="00C51F2D"/>
    <w:rsid w:val="00C53740"/>
    <w:rsid w:val="00C55F14"/>
    <w:rsid w:val="00C610F5"/>
    <w:rsid w:val="00C614E5"/>
    <w:rsid w:val="00C61710"/>
    <w:rsid w:val="00C61AAB"/>
    <w:rsid w:val="00C6241B"/>
    <w:rsid w:val="00C636BD"/>
    <w:rsid w:val="00C73F92"/>
    <w:rsid w:val="00C7501D"/>
    <w:rsid w:val="00C75F83"/>
    <w:rsid w:val="00C86834"/>
    <w:rsid w:val="00C90E42"/>
    <w:rsid w:val="00C93A92"/>
    <w:rsid w:val="00C9452F"/>
    <w:rsid w:val="00C96A0F"/>
    <w:rsid w:val="00C96C3C"/>
    <w:rsid w:val="00C97D0F"/>
    <w:rsid w:val="00CA02FB"/>
    <w:rsid w:val="00CA6F5A"/>
    <w:rsid w:val="00CA7105"/>
    <w:rsid w:val="00CB060D"/>
    <w:rsid w:val="00CB616A"/>
    <w:rsid w:val="00CB6B38"/>
    <w:rsid w:val="00CB7F46"/>
    <w:rsid w:val="00CC3CA1"/>
    <w:rsid w:val="00CC46BC"/>
    <w:rsid w:val="00CD1693"/>
    <w:rsid w:val="00CD1A16"/>
    <w:rsid w:val="00CD534D"/>
    <w:rsid w:val="00CE62BA"/>
    <w:rsid w:val="00CE7A2E"/>
    <w:rsid w:val="00CF3FAC"/>
    <w:rsid w:val="00CF4B21"/>
    <w:rsid w:val="00CF5758"/>
    <w:rsid w:val="00CF6A50"/>
    <w:rsid w:val="00D00545"/>
    <w:rsid w:val="00D06DA7"/>
    <w:rsid w:val="00D07399"/>
    <w:rsid w:val="00D07D10"/>
    <w:rsid w:val="00D1772C"/>
    <w:rsid w:val="00D20DAD"/>
    <w:rsid w:val="00D22642"/>
    <w:rsid w:val="00D22D0D"/>
    <w:rsid w:val="00D266F6"/>
    <w:rsid w:val="00D27353"/>
    <w:rsid w:val="00D311CB"/>
    <w:rsid w:val="00D32A3C"/>
    <w:rsid w:val="00D35000"/>
    <w:rsid w:val="00D4152A"/>
    <w:rsid w:val="00D55E68"/>
    <w:rsid w:val="00D615D7"/>
    <w:rsid w:val="00D61961"/>
    <w:rsid w:val="00D61F3C"/>
    <w:rsid w:val="00D62600"/>
    <w:rsid w:val="00D63591"/>
    <w:rsid w:val="00D64F8B"/>
    <w:rsid w:val="00D66188"/>
    <w:rsid w:val="00D67B61"/>
    <w:rsid w:val="00D70C9C"/>
    <w:rsid w:val="00D73ED1"/>
    <w:rsid w:val="00D74004"/>
    <w:rsid w:val="00D7770A"/>
    <w:rsid w:val="00D8326E"/>
    <w:rsid w:val="00D83B7D"/>
    <w:rsid w:val="00D87CC7"/>
    <w:rsid w:val="00D91385"/>
    <w:rsid w:val="00D93DDE"/>
    <w:rsid w:val="00D93DF2"/>
    <w:rsid w:val="00D95EC4"/>
    <w:rsid w:val="00DA1FD1"/>
    <w:rsid w:val="00DA20B6"/>
    <w:rsid w:val="00DA3C0A"/>
    <w:rsid w:val="00DA4799"/>
    <w:rsid w:val="00DA4C27"/>
    <w:rsid w:val="00DA620B"/>
    <w:rsid w:val="00DA67C3"/>
    <w:rsid w:val="00DB0C13"/>
    <w:rsid w:val="00DB4D7F"/>
    <w:rsid w:val="00DB790C"/>
    <w:rsid w:val="00DC2974"/>
    <w:rsid w:val="00DC33A7"/>
    <w:rsid w:val="00DC4F56"/>
    <w:rsid w:val="00DC53AE"/>
    <w:rsid w:val="00DC5A0C"/>
    <w:rsid w:val="00DD6954"/>
    <w:rsid w:val="00DF1109"/>
    <w:rsid w:val="00DF4222"/>
    <w:rsid w:val="00DF5771"/>
    <w:rsid w:val="00DF693E"/>
    <w:rsid w:val="00DF6AED"/>
    <w:rsid w:val="00E01985"/>
    <w:rsid w:val="00E01A4C"/>
    <w:rsid w:val="00E0444B"/>
    <w:rsid w:val="00E06DDD"/>
    <w:rsid w:val="00E10BC5"/>
    <w:rsid w:val="00E115E5"/>
    <w:rsid w:val="00E15294"/>
    <w:rsid w:val="00E15C63"/>
    <w:rsid w:val="00E17BF3"/>
    <w:rsid w:val="00E20A0C"/>
    <w:rsid w:val="00E2134E"/>
    <w:rsid w:val="00E24BEF"/>
    <w:rsid w:val="00E26C4B"/>
    <w:rsid w:val="00E3167C"/>
    <w:rsid w:val="00E335ED"/>
    <w:rsid w:val="00E42A06"/>
    <w:rsid w:val="00E43251"/>
    <w:rsid w:val="00E70DE5"/>
    <w:rsid w:val="00E7346C"/>
    <w:rsid w:val="00E76E2B"/>
    <w:rsid w:val="00E77613"/>
    <w:rsid w:val="00E84640"/>
    <w:rsid w:val="00E8535E"/>
    <w:rsid w:val="00E85D61"/>
    <w:rsid w:val="00E85FF2"/>
    <w:rsid w:val="00E90314"/>
    <w:rsid w:val="00E916C0"/>
    <w:rsid w:val="00E93A5A"/>
    <w:rsid w:val="00E97258"/>
    <w:rsid w:val="00E9788D"/>
    <w:rsid w:val="00EA25C8"/>
    <w:rsid w:val="00EA3959"/>
    <w:rsid w:val="00EA4D35"/>
    <w:rsid w:val="00EA5CA2"/>
    <w:rsid w:val="00EA7BD3"/>
    <w:rsid w:val="00EB0B25"/>
    <w:rsid w:val="00EB282E"/>
    <w:rsid w:val="00EB558E"/>
    <w:rsid w:val="00EC1687"/>
    <w:rsid w:val="00EC3605"/>
    <w:rsid w:val="00EC46F4"/>
    <w:rsid w:val="00EC59F4"/>
    <w:rsid w:val="00EC7274"/>
    <w:rsid w:val="00ED0DB0"/>
    <w:rsid w:val="00ED28DE"/>
    <w:rsid w:val="00ED2D0E"/>
    <w:rsid w:val="00ED2E02"/>
    <w:rsid w:val="00ED3F8B"/>
    <w:rsid w:val="00ED570D"/>
    <w:rsid w:val="00ED5DFE"/>
    <w:rsid w:val="00ED603C"/>
    <w:rsid w:val="00EE0861"/>
    <w:rsid w:val="00EE47C1"/>
    <w:rsid w:val="00EE5191"/>
    <w:rsid w:val="00EE5F86"/>
    <w:rsid w:val="00EF0216"/>
    <w:rsid w:val="00EF1AC8"/>
    <w:rsid w:val="00EF458E"/>
    <w:rsid w:val="00EF6803"/>
    <w:rsid w:val="00EF7DE7"/>
    <w:rsid w:val="00F005D2"/>
    <w:rsid w:val="00F02414"/>
    <w:rsid w:val="00F04DD2"/>
    <w:rsid w:val="00F054FE"/>
    <w:rsid w:val="00F161FC"/>
    <w:rsid w:val="00F21813"/>
    <w:rsid w:val="00F34FB4"/>
    <w:rsid w:val="00F3734C"/>
    <w:rsid w:val="00F47123"/>
    <w:rsid w:val="00F47230"/>
    <w:rsid w:val="00F6459F"/>
    <w:rsid w:val="00F70407"/>
    <w:rsid w:val="00F7583B"/>
    <w:rsid w:val="00F80F09"/>
    <w:rsid w:val="00F84032"/>
    <w:rsid w:val="00F8722F"/>
    <w:rsid w:val="00F90FD4"/>
    <w:rsid w:val="00FA771A"/>
    <w:rsid w:val="00FA7AEA"/>
    <w:rsid w:val="00FB3601"/>
    <w:rsid w:val="00FB608A"/>
    <w:rsid w:val="00FC0018"/>
    <w:rsid w:val="00FC1959"/>
    <w:rsid w:val="00FC2AA7"/>
    <w:rsid w:val="00FC6A84"/>
    <w:rsid w:val="00FD0E82"/>
    <w:rsid w:val="00FD74FE"/>
    <w:rsid w:val="00FD7700"/>
    <w:rsid w:val="00FD7FB0"/>
    <w:rsid w:val="00FE2888"/>
    <w:rsid w:val="00FE58F0"/>
    <w:rsid w:val="00FE60EF"/>
    <w:rsid w:val="00FE7736"/>
    <w:rsid w:val="00FF3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434B2D"/>
  <w15:docId w15:val="{646619FF-C892-4B3B-B465-4CD39609C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18"/>
        <w:szCs w:val="18"/>
        <w:lang w:val="en-US" w:eastAsia="en-US" w:bidi="ar-SA"/>
      </w:rPr>
    </w:rPrDefault>
    <w:pPrDefault/>
  </w:docDefaults>
  <w:latentStyles w:defLockedState="0" w:defUIPriority="0" w:defSemiHidden="0" w:defUnhideWhenUsed="0" w:defQFormat="0" w:count="376">
    <w:lsdException w:name="Normal" w:uiPriority="9"/>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lsdException w:name="heading 6" w:semiHidden="1" w:uiPriority="1" w:unhideWhenUsed="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iPriority="1" w:unhideWhenUsed="1"/>
    <w:lsdException w:name="List Bullet" w:semiHidden="1" w:uiPriority="1" w:unhideWhenUsed="1" w:qFormat="1"/>
    <w:lsdException w:name="List Number" w:uiPriority="2" w:qFormat="1"/>
    <w:lsdException w:name="List 2" w:uiPriority="1"/>
    <w:lsdException w:name="List 3" w:semiHidden="1" w:uiPriority="1" w:unhideWhenUsed="1"/>
    <w:lsdException w:name="List 4" w:semiHidden="1" w:uiPriority="1" w:unhideWhenUsed="1"/>
    <w:lsdException w:name="List 5" w:semiHidden="1" w:uiPriority="1" w:unhideWhenUsed="1"/>
    <w:lsdException w:name="List Bullet 2" w:semiHidden="1" w:uiPriority="1" w:unhideWhenUsed="1" w:qFormat="1"/>
    <w:lsdException w:name="List Bullet 3" w:semiHidden="1" w:uiPriority="1" w:unhideWhenUsed="1" w:qFormat="1"/>
    <w:lsdException w:name="List Bullet 4" w:semiHidden="1" w:uiPriority="1" w:unhideWhenUsed="1"/>
    <w:lsdException w:name="List Bullet 5" w:semiHidden="1" w:uiPriority="1" w:unhideWhenUsed="1"/>
    <w:lsdException w:name="List Number 2" w:semiHidden="1" w:uiPriority="2" w:unhideWhenUsed="1" w:qFormat="1"/>
    <w:lsdException w:name="List Number 3" w:semiHidden="1" w:uiPriority="2" w:unhideWhenUsed="1" w:qFormat="1"/>
    <w:lsdException w:name="List Number 4" w:semiHidden="1" w:uiPriority="2" w:unhideWhenUsed="1"/>
    <w:lsdException w:name="List Number 5" w:semiHidden="1" w:uiPriority="2" w:unhideWhenUsed="1"/>
    <w:lsdException w:name="Title" w:uiPriority="7"/>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uiPriority="2"/>
    <w:lsdException w:name="List Continue 5" w:uiPriority="2"/>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uiPriority w:val="9"/>
    <w:rsid w:val="00D35000"/>
    <w:pPr>
      <w:spacing w:after="120" w:line="240" w:lineRule="atLeast"/>
    </w:pPr>
    <w:rPr>
      <w:lang w:val="en-GB"/>
    </w:rPr>
  </w:style>
  <w:style w:type="paragraph" w:styleId="Titolo1">
    <w:name w:val="heading 1"/>
    <w:basedOn w:val="Normale"/>
    <w:next w:val="Corpotesto"/>
    <w:link w:val="Titolo1Carattere"/>
    <w:uiPriority w:val="1"/>
    <w:qFormat/>
    <w:rsid w:val="005876F4"/>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Titolo2">
    <w:name w:val="heading 2"/>
    <w:basedOn w:val="Titolo1"/>
    <w:next w:val="Corpotesto"/>
    <w:link w:val="Titolo2Carattere"/>
    <w:uiPriority w:val="1"/>
    <w:qFormat/>
    <w:rsid w:val="005876F4"/>
    <w:pPr>
      <w:spacing w:line="320" w:lineRule="exact"/>
      <w:outlineLvl w:val="1"/>
    </w:pPr>
    <w:rPr>
      <w:bCs w:val="0"/>
      <w:sz w:val="26"/>
      <w:szCs w:val="19"/>
    </w:rPr>
  </w:style>
  <w:style w:type="paragraph" w:styleId="Titolo3">
    <w:name w:val="heading 3"/>
    <w:basedOn w:val="Titolo2"/>
    <w:next w:val="Corpotesto"/>
    <w:link w:val="Titolo3Carattere"/>
    <w:uiPriority w:val="1"/>
    <w:qFormat/>
    <w:rsid w:val="005876F4"/>
    <w:pPr>
      <w:spacing w:line="240" w:lineRule="atLeast"/>
      <w:outlineLvl w:val="2"/>
    </w:pPr>
    <w:rPr>
      <w:rFonts w:asciiTheme="minorHAnsi" w:hAnsiTheme="minorHAnsi" w:cstheme="minorHAnsi"/>
      <w:b/>
      <w:bCs/>
      <w:sz w:val="18"/>
      <w:szCs w:val="18"/>
    </w:rPr>
  </w:style>
  <w:style w:type="paragraph" w:styleId="Titolo4">
    <w:name w:val="heading 4"/>
    <w:basedOn w:val="Titolo3"/>
    <w:next w:val="Corpotesto"/>
    <w:link w:val="Titolo4Carattere"/>
    <w:uiPriority w:val="1"/>
    <w:qFormat/>
    <w:rsid w:val="005876F4"/>
    <w:pPr>
      <w:outlineLvl w:val="3"/>
    </w:pPr>
    <w:rPr>
      <w:b w:val="0"/>
      <w:bCs w:val="0"/>
    </w:rPr>
  </w:style>
  <w:style w:type="paragraph" w:styleId="Titolo5">
    <w:name w:val="heading 5"/>
    <w:basedOn w:val="Normale"/>
    <w:next w:val="Normale"/>
    <w:uiPriority w:val="1"/>
    <w:rsid w:val="005876F4"/>
    <w:pPr>
      <w:numPr>
        <w:ilvl w:val="4"/>
        <w:numId w:val="11"/>
      </w:numPr>
      <w:spacing w:before="240"/>
      <w:outlineLvl w:val="4"/>
    </w:pPr>
    <w:rPr>
      <w:b/>
      <w:bCs/>
      <w:i/>
      <w:iCs/>
      <w:sz w:val="24"/>
      <w:szCs w:val="26"/>
    </w:rPr>
  </w:style>
  <w:style w:type="paragraph" w:styleId="Titolo6">
    <w:name w:val="heading 6"/>
    <w:basedOn w:val="Normale"/>
    <w:next w:val="Normale"/>
    <w:uiPriority w:val="1"/>
    <w:rsid w:val="005876F4"/>
    <w:pPr>
      <w:numPr>
        <w:ilvl w:val="5"/>
        <w:numId w:val="11"/>
      </w:numPr>
      <w:spacing w:before="240" w:after="60"/>
      <w:outlineLvl w:val="5"/>
    </w:pPr>
    <w:rPr>
      <w:rFonts w:ascii="Times New Roman" w:hAnsi="Times New Roman"/>
      <w:b/>
      <w:bCs/>
      <w:szCs w:val="22"/>
    </w:rPr>
  </w:style>
  <w:style w:type="paragraph" w:styleId="Titolo7">
    <w:name w:val="heading 7"/>
    <w:basedOn w:val="Normale"/>
    <w:next w:val="Normale"/>
    <w:uiPriority w:val="1"/>
    <w:rsid w:val="005876F4"/>
    <w:pPr>
      <w:numPr>
        <w:ilvl w:val="6"/>
        <w:numId w:val="11"/>
      </w:numPr>
      <w:spacing w:before="240" w:after="60"/>
      <w:outlineLvl w:val="6"/>
    </w:pPr>
    <w:rPr>
      <w:rFonts w:ascii="Times New Roman" w:hAnsi="Times New Roman"/>
      <w:sz w:val="24"/>
      <w:szCs w:val="24"/>
    </w:rPr>
  </w:style>
  <w:style w:type="paragraph" w:styleId="Titolo8">
    <w:name w:val="heading 8"/>
    <w:basedOn w:val="Normale"/>
    <w:next w:val="Normale"/>
    <w:uiPriority w:val="1"/>
    <w:rsid w:val="005876F4"/>
    <w:pPr>
      <w:numPr>
        <w:ilvl w:val="7"/>
        <w:numId w:val="11"/>
      </w:numPr>
      <w:spacing w:before="240" w:after="60"/>
      <w:outlineLvl w:val="7"/>
    </w:pPr>
    <w:rPr>
      <w:rFonts w:ascii="Times New Roman" w:hAnsi="Times New Roman"/>
      <w:i/>
      <w:iCs/>
      <w:sz w:val="24"/>
      <w:szCs w:val="24"/>
    </w:rPr>
  </w:style>
  <w:style w:type="paragraph" w:styleId="Titolo9">
    <w:name w:val="heading 9"/>
    <w:basedOn w:val="Normale"/>
    <w:next w:val="Normale"/>
    <w:uiPriority w:val="1"/>
    <w:rsid w:val="005876F4"/>
    <w:pPr>
      <w:numPr>
        <w:ilvl w:val="8"/>
        <w:numId w:val="11"/>
      </w:numPr>
      <w:spacing w:before="240" w:after="60"/>
      <w:outlineLvl w:val="8"/>
    </w:pPr>
    <w:rPr>
      <w:rFonts w:ascii="Arial" w:hAnsi="Arial"/>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qFormat/>
    <w:rsid w:val="005876F4"/>
  </w:style>
  <w:style w:type="paragraph" w:styleId="Puntoelenco">
    <w:name w:val="List Bullet"/>
    <w:basedOn w:val="Normale"/>
    <w:link w:val="PuntoelencoCarattere"/>
    <w:uiPriority w:val="1"/>
    <w:qFormat/>
    <w:rsid w:val="005876F4"/>
    <w:pPr>
      <w:numPr>
        <w:numId w:val="12"/>
      </w:numPr>
    </w:pPr>
  </w:style>
  <w:style w:type="paragraph" w:styleId="Numeroelenco">
    <w:name w:val="List Number"/>
    <w:basedOn w:val="Normale"/>
    <w:uiPriority w:val="2"/>
    <w:qFormat/>
    <w:rsid w:val="005876F4"/>
    <w:pPr>
      <w:numPr>
        <w:numId w:val="15"/>
      </w:numPr>
    </w:pPr>
  </w:style>
  <w:style w:type="paragraph" w:styleId="Intestazione">
    <w:name w:val="header"/>
    <w:link w:val="IntestazioneCarattere"/>
    <w:rsid w:val="005876F4"/>
    <w:pPr>
      <w:tabs>
        <w:tab w:val="right" w:pos="8562"/>
      </w:tabs>
    </w:pPr>
    <w:rPr>
      <w:rFonts w:cs="Arial"/>
      <w:b/>
      <w:sz w:val="16"/>
      <w:lang w:val="en-GB"/>
    </w:rPr>
  </w:style>
  <w:style w:type="paragraph" w:styleId="Pidipagina">
    <w:name w:val="footer"/>
    <w:link w:val="PidipaginaCarattere"/>
    <w:uiPriority w:val="9"/>
    <w:unhideWhenUsed/>
    <w:rsid w:val="005876F4"/>
    <w:pPr>
      <w:tabs>
        <w:tab w:val="center" w:pos="4153"/>
        <w:tab w:val="right" w:pos="8306"/>
      </w:tabs>
      <w:jc w:val="right"/>
    </w:pPr>
    <w:rPr>
      <w:rFonts w:cs="Arial"/>
      <w:color w:val="000000" w:themeColor="text1"/>
      <w:sz w:val="12"/>
      <w:lang w:val="en-GB"/>
    </w:rPr>
  </w:style>
  <w:style w:type="paragraph" w:customStyle="1" w:styleId="AppendixTitle">
    <w:name w:val="Appendix Title"/>
    <w:basedOn w:val="Normale"/>
    <w:next w:val="Corpotesto"/>
    <w:uiPriority w:val="9"/>
    <w:rsid w:val="005876F4"/>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olo">
    <w:name w:val="Title"/>
    <w:basedOn w:val="Normale"/>
    <w:next w:val="Corpotesto"/>
    <w:uiPriority w:val="7"/>
    <w:rsid w:val="005E15EF"/>
    <w:pPr>
      <w:framePr w:w="9358" w:h="794" w:hRule="exact" w:wrap="notBeside" w:vAnchor="page" w:hAnchor="margin" w:y="3154" w:anchorLock="1"/>
      <w:spacing w:after="360" w:line="800" w:lineRule="exact"/>
      <w:outlineLvl w:val="0"/>
    </w:pPr>
    <w:rPr>
      <w:rFonts w:asciiTheme="majorHAnsi" w:hAnsiTheme="majorHAnsi" w:cstheme="majorHAnsi"/>
      <w:b/>
      <w:bCs/>
      <w:color w:val="4F2D7F" w:themeColor="accent1"/>
      <w:kern w:val="28"/>
      <w:sz w:val="72"/>
      <w:szCs w:val="32"/>
    </w:rPr>
  </w:style>
  <w:style w:type="numbering" w:styleId="ArticoloSezione">
    <w:name w:val="Outline List 3"/>
    <w:basedOn w:val="Nessunelenco"/>
    <w:semiHidden/>
    <w:rsid w:val="005876F4"/>
    <w:pPr>
      <w:numPr>
        <w:numId w:val="1"/>
      </w:numPr>
    </w:pPr>
  </w:style>
  <w:style w:type="paragraph" w:styleId="Puntoelenco2">
    <w:name w:val="List Bullet 2"/>
    <w:basedOn w:val="Normale"/>
    <w:uiPriority w:val="1"/>
    <w:qFormat/>
    <w:rsid w:val="005876F4"/>
    <w:pPr>
      <w:numPr>
        <w:ilvl w:val="1"/>
        <w:numId w:val="12"/>
      </w:numPr>
    </w:pPr>
  </w:style>
  <w:style w:type="paragraph" w:styleId="Numeroelenco2">
    <w:name w:val="List Number 2"/>
    <w:basedOn w:val="Normale"/>
    <w:uiPriority w:val="2"/>
    <w:qFormat/>
    <w:rsid w:val="005876F4"/>
    <w:pPr>
      <w:numPr>
        <w:ilvl w:val="1"/>
        <w:numId w:val="15"/>
      </w:numPr>
    </w:pPr>
  </w:style>
  <w:style w:type="paragraph" w:styleId="Numeroelenco3">
    <w:name w:val="List Number 3"/>
    <w:basedOn w:val="Normale"/>
    <w:uiPriority w:val="2"/>
    <w:qFormat/>
    <w:rsid w:val="005876F4"/>
    <w:pPr>
      <w:numPr>
        <w:ilvl w:val="2"/>
        <w:numId w:val="15"/>
      </w:numPr>
    </w:pPr>
  </w:style>
  <w:style w:type="paragraph" w:customStyle="1" w:styleId="MarginNotes">
    <w:name w:val="Margin Notes"/>
    <w:rsid w:val="005876F4"/>
    <w:rPr>
      <w:rFonts w:cs="Arial"/>
      <w:sz w:val="16"/>
      <w:lang w:val="en-GB"/>
    </w:rPr>
  </w:style>
  <w:style w:type="paragraph" w:customStyle="1" w:styleId="SectionTitle">
    <w:name w:val="Section Title"/>
    <w:next w:val="Corpotesto"/>
    <w:uiPriority w:val="8"/>
    <w:rsid w:val="005876F4"/>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5876F4"/>
    <w:pPr>
      <w:spacing w:before="60" w:after="60"/>
    </w:pPr>
    <w:rPr>
      <w:rFonts w:cs="Arial"/>
      <w:b/>
      <w:bCs/>
      <w:color w:val="4F2D7F" w:themeColor="accent1"/>
      <w:kern w:val="28"/>
      <w:sz w:val="16"/>
      <w:szCs w:val="32"/>
      <w:lang w:val="en-GB"/>
    </w:rPr>
  </w:style>
  <w:style w:type="paragraph" w:customStyle="1" w:styleId="TableText">
    <w:name w:val="Table Text"/>
    <w:uiPriority w:val="2"/>
    <w:qFormat/>
    <w:rsid w:val="005876F4"/>
    <w:pPr>
      <w:spacing w:before="60" w:after="60"/>
    </w:pPr>
    <w:rPr>
      <w:rFonts w:cs="Arial"/>
      <w:sz w:val="16"/>
      <w:lang w:val="en-GB"/>
    </w:rPr>
  </w:style>
  <w:style w:type="paragraph" w:customStyle="1" w:styleId="TintBoxTextBlack">
    <w:name w:val="Tint Box Text Black"/>
    <w:rsid w:val="005876F4"/>
    <w:pPr>
      <w:spacing w:after="240" w:line="240" w:lineRule="atLeast"/>
    </w:pPr>
    <w:rPr>
      <w:rFonts w:cs="Arial"/>
      <w:b/>
      <w:lang w:val="en-GB"/>
    </w:rPr>
  </w:style>
  <w:style w:type="paragraph" w:customStyle="1" w:styleId="TintBoxTextWhite">
    <w:name w:val="Tint Box Text White"/>
    <w:basedOn w:val="TintBoxTextBlack"/>
    <w:rsid w:val="005876F4"/>
    <w:rPr>
      <w:color w:val="FFFFFF"/>
    </w:rPr>
  </w:style>
  <w:style w:type="paragraph" w:styleId="Sommario1">
    <w:name w:val="toc 1"/>
    <w:next w:val="Normale"/>
    <w:uiPriority w:val="39"/>
    <w:rsid w:val="005876F4"/>
    <w:pPr>
      <w:tabs>
        <w:tab w:val="right" w:pos="8363"/>
      </w:tabs>
      <w:spacing w:before="120" w:after="120" w:line="240" w:lineRule="atLeast"/>
    </w:pPr>
    <w:rPr>
      <w:rFonts w:cs="Arial"/>
      <w:lang w:val="en-GB"/>
    </w:rPr>
  </w:style>
  <w:style w:type="paragraph" w:styleId="Sommario2">
    <w:name w:val="toc 2"/>
    <w:next w:val="Normale"/>
    <w:uiPriority w:val="39"/>
    <w:rsid w:val="005876F4"/>
    <w:pPr>
      <w:tabs>
        <w:tab w:val="right" w:pos="8363"/>
      </w:tabs>
      <w:spacing w:after="120" w:line="240" w:lineRule="atLeast"/>
      <w:ind w:left="198"/>
    </w:pPr>
    <w:rPr>
      <w:rFonts w:cs="Arial"/>
      <w:szCs w:val="24"/>
      <w:lang w:val="en-GB"/>
    </w:rPr>
  </w:style>
  <w:style w:type="paragraph" w:styleId="Sommario3">
    <w:name w:val="toc 3"/>
    <w:basedOn w:val="Sommario2"/>
    <w:next w:val="Normale"/>
    <w:uiPriority w:val="39"/>
    <w:rsid w:val="005876F4"/>
    <w:pPr>
      <w:ind w:left="403"/>
    </w:pPr>
  </w:style>
  <w:style w:type="paragraph" w:customStyle="1" w:styleId="TradingName">
    <w:name w:val="Trading Name"/>
    <w:semiHidden/>
    <w:rsid w:val="005876F4"/>
    <w:pPr>
      <w:spacing w:line="180" w:lineRule="atLeast"/>
    </w:pPr>
    <w:rPr>
      <w:rFonts w:eastAsia="SimHei" w:cs="Arial"/>
      <w:b/>
      <w:sz w:val="16"/>
      <w:lang w:val="en-GB"/>
    </w:rPr>
  </w:style>
  <w:style w:type="paragraph" w:customStyle="1" w:styleId="PartnerAddress">
    <w:name w:val="Partner Address"/>
    <w:semiHidden/>
    <w:rsid w:val="005876F4"/>
    <w:rPr>
      <w:rFonts w:eastAsia="SimHei" w:cs="Arial"/>
      <w:sz w:val="16"/>
      <w:lang w:val="en-GB"/>
    </w:rPr>
  </w:style>
  <w:style w:type="paragraph" w:customStyle="1" w:styleId="HalfLineBreak">
    <w:name w:val="Half Line Break"/>
    <w:semiHidden/>
    <w:rsid w:val="00E115E5"/>
    <w:rPr>
      <w:rFonts w:eastAsia="SimHei" w:cs="Arial"/>
      <w:b/>
      <w:sz w:val="7"/>
      <w:lang w:val="en-GB"/>
    </w:rPr>
  </w:style>
  <w:style w:type="paragraph" w:customStyle="1" w:styleId="LetterFooterTitle">
    <w:name w:val="Letter Footer Title"/>
    <w:next w:val="LetterFooter"/>
    <w:uiPriority w:val="9"/>
    <w:semiHidden/>
    <w:rsid w:val="005876F4"/>
    <w:pPr>
      <w:spacing w:line="140" w:lineRule="atLeast"/>
    </w:pPr>
    <w:rPr>
      <w:rFonts w:ascii="Arial Narrow" w:hAnsi="Arial Narrow" w:cs="Arial"/>
      <w:b/>
      <w:sz w:val="12"/>
      <w:lang w:val="en-GB"/>
    </w:rPr>
  </w:style>
  <w:style w:type="paragraph" w:customStyle="1" w:styleId="FaxHeading1">
    <w:name w:val="Fax Heading 1"/>
    <w:next w:val="Normale"/>
    <w:uiPriority w:val="99"/>
    <w:rsid w:val="005876F4"/>
    <w:rPr>
      <w:rFonts w:cs="Arial"/>
      <w:b/>
      <w:bCs/>
      <w:kern w:val="32"/>
      <w:szCs w:val="22"/>
      <w:lang w:val="en-GB"/>
    </w:rPr>
  </w:style>
  <w:style w:type="paragraph" w:customStyle="1" w:styleId="FaxHeading2">
    <w:name w:val="Fax Heading 2"/>
    <w:basedOn w:val="FaxHeading1"/>
    <w:next w:val="Normale"/>
    <w:uiPriority w:val="99"/>
    <w:semiHidden/>
    <w:rsid w:val="005876F4"/>
    <w:rPr>
      <w:b w:val="0"/>
    </w:rPr>
  </w:style>
  <w:style w:type="paragraph" w:customStyle="1" w:styleId="FaxText">
    <w:name w:val="Fax Text"/>
    <w:uiPriority w:val="99"/>
    <w:rsid w:val="005876F4"/>
    <w:rPr>
      <w:rFonts w:cs="Arial"/>
      <w:lang w:val="en-GB"/>
    </w:rPr>
  </w:style>
  <w:style w:type="paragraph" w:customStyle="1" w:styleId="ConfidentialStatement">
    <w:name w:val="Confidential Statement"/>
    <w:basedOn w:val="FaxText"/>
    <w:semiHidden/>
    <w:rsid w:val="005876F4"/>
    <w:rPr>
      <w:color w:val="858589"/>
    </w:rPr>
  </w:style>
  <w:style w:type="paragraph" w:customStyle="1" w:styleId="AppendicesTitle">
    <w:name w:val="Appendices Title"/>
    <w:basedOn w:val="Titolo2"/>
    <w:next w:val="Normale"/>
    <w:uiPriority w:val="9"/>
    <w:rsid w:val="005876F4"/>
    <w:rPr>
      <w:b/>
    </w:rPr>
  </w:style>
  <w:style w:type="paragraph" w:customStyle="1" w:styleId="ChapterTitle">
    <w:name w:val="Chapter Title"/>
    <w:basedOn w:val="Sottotitolo"/>
    <w:uiPriority w:val="9"/>
    <w:rsid w:val="005876F4"/>
    <w:pPr>
      <w:pBdr>
        <w:bottom w:val="single" w:sz="4" w:space="5" w:color="auto"/>
      </w:pBdr>
      <w:spacing w:after="720" w:line="240" w:lineRule="atLeast"/>
    </w:pPr>
    <w:rPr>
      <w:sz w:val="18"/>
    </w:rPr>
  </w:style>
  <w:style w:type="paragraph" w:styleId="Sottotitolo">
    <w:name w:val="Subtitle"/>
    <w:link w:val="SottotitoloCarattere"/>
    <w:uiPriority w:val="9"/>
    <w:rsid w:val="005876F4"/>
    <w:pPr>
      <w:spacing w:after="840" w:line="280" w:lineRule="atLeast"/>
      <w:outlineLvl w:val="1"/>
    </w:pPr>
    <w:rPr>
      <w:rFonts w:asciiTheme="majorHAnsi" w:hAnsiTheme="majorHAnsi" w:cs="Arial"/>
      <w:bCs/>
      <w:kern w:val="28"/>
      <w:sz w:val="36"/>
      <w:szCs w:val="24"/>
      <w:lang w:val="en-GB"/>
    </w:rPr>
  </w:style>
  <w:style w:type="paragraph" w:customStyle="1" w:styleId="Contents">
    <w:name w:val="Contents"/>
    <w:next w:val="Normale"/>
    <w:uiPriority w:val="9"/>
    <w:rsid w:val="005876F4"/>
    <w:pPr>
      <w:framePr w:w="8403" w:wrap="around" w:vAnchor="page" w:hAnchor="text" w:y="1475"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5876F4"/>
    <w:pPr>
      <w:spacing w:line="264" w:lineRule="auto"/>
    </w:pPr>
    <w:rPr>
      <w:rFonts w:ascii="Arial Narrow" w:hAnsi="Arial Narrow" w:cs="Arial"/>
      <w:sz w:val="12"/>
      <w:lang w:val="en-GB"/>
    </w:rPr>
  </w:style>
  <w:style w:type="paragraph" w:customStyle="1" w:styleId="LandscapeHeader">
    <w:name w:val="Landscape Header"/>
    <w:basedOn w:val="Intestazione"/>
    <w:semiHidden/>
    <w:rsid w:val="005876F4"/>
    <w:pPr>
      <w:tabs>
        <w:tab w:val="clear" w:pos="8562"/>
        <w:tab w:val="right" w:pos="13438"/>
      </w:tabs>
    </w:pPr>
  </w:style>
  <w:style w:type="paragraph" w:customStyle="1" w:styleId="ReferenceText">
    <w:name w:val="Reference Text"/>
    <w:uiPriority w:val="9"/>
    <w:rsid w:val="005876F4"/>
    <w:pPr>
      <w:spacing w:after="120" w:line="240" w:lineRule="atLeast"/>
    </w:pPr>
    <w:rPr>
      <w:rFonts w:cs="Arial"/>
      <w:kern w:val="32"/>
      <w:szCs w:val="24"/>
      <w:lang w:val="en-GB"/>
    </w:rPr>
  </w:style>
  <w:style w:type="paragraph" w:customStyle="1" w:styleId="ReferenceTitle">
    <w:name w:val="Reference Title"/>
    <w:next w:val="ReferenceText"/>
    <w:uiPriority w:val="9"/>
    <w:rsid w:val="005876F4"/>
    <w:pPr>
      <w:spacing w:after="120" w:line="240" w:lineRule="atLeast"/>
    </w:pPr>
    <w:rPr>
      <w:rFonts w:cs="Arial"/>
      <w:b/>
      <w:kern w:val="32"/>
      <w:szCs w:val="24"/>
      <w:lang w:val="en-GB"/>
    </w:rPr>
  </w:style>
  <w:style w:type="paragraph" w:customStyle="1" w:styleId="ParagraphBullet">
    <w:name w:val="Paragraph Bullet"/>
    <w:basedOn w:val="Normale"/>
    <w:uiPriority w:val="1"/>
    <w:rsid w:val="005876F4"/>
    <w:pPr>
      <w:numPr>
        <w:numId w:val="20"/>
      </w:numPr>
    </w:pPr>
  </w:style>
  <w:style w:type="paragraph" w:customStyle="1" w:styleId="ParagraphBullet2">
    <w:name w:val="Paragraph Bullet 2"/>
    <w:basedOn w:val="Normale"/>
    <w:uiPriority w:val="1"/>
    <w:rsid w:val="005876F4"/>
    <w:pPr>
      <w:numPr>
        <w:ilvl w:val="1"/>
        <w:numId w:val="20"/>
      </w:numPr>
    </w:pPr>
  </w:style>
  <w:style w:type="paragraph" w:customStyle="1" w:styleId="MarginNotesHeading">
    <w:name w:val="Margin Notes Heading"/>
    <w:basedOn w:val="MarginNotes"/>
    <w:rsid w:val="005876F4"/>
    <w:rPr>
      <w:b/>
    </w:rPr>
  </w:style>
  <w:style w:type="paragraph" w:styleId="Citazione">
    <w:name w:val="Quote"/>
    <w:basedOn w:val="Corpotesto"/>
    <w:uiPriority w:val="9"/>
    <w:rsid w:val="005876F4"/>
    <w:rPr>
      <w:sz w:val="28"/>
    </w:rPr>
  </w:style>
  <w:style w:type="paragraph" w:customStyle="1" w:styleId="ContactDetails">
    <w:name w:val="Contact Details"/>
    <w:uiPriority w:val="9"/>
    <w:rsid w:val="005876F4"/>
    <w:rPr>
      <w:rFonts w:cs="Arial"/>
      <w:lang w:val="en-GB"/>
    </w:rPr>
  </w:style>
  <w:style w:type="paragraph" w:customStyle="1" w:styleId="ContactDetailsTitle">
    <w:name w:val="Contact Details Title"/>
    <w:basedOn w:val="ContactDetails"/>
    <w:next w:val="ContactDetails"/>
    <w:uiPriority w:val="9"/>
    <w:rsid w:val="005876F4"/>
    <w:rPr>
      <w:b/>
    </w:rPr>
  </w:style>
  <w:style w:type="paragraph" w:styleId="Testomacro">
    <w:name w:val="macro"/>
    <w:semiHidden/>
    <w:rsid w:val="005876F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NumberedHeading1">
    <w:name w:val="Numbered Heading 1"/>
    <w:next w:val="NumberedBodyText"/>
    <w:uiPriority w:val="3"/>
    <w:qFormat/>
    <w:rsid w:val="005876F4"/>
    <w:pPr>
      <w:numPr>
        <w:numId w:val="1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NumberedBodyText"/>
    <w:uiPriority w:val="3"/>
    <w:qFormat/>
    <w:rsid w:val="005876F4"/>
    <w:pPr>
      <w:numPr>
        <w:ilvl w:val="1"/>
        <w:numId w:val="18"/>
      </w:numPr>
      <w:spacing w:before="240" w:after="120" w:line="320" w:lineRule="exact"/>
    </w:pPr>
    <w:rPr>
      <w:rFonts w:asciiTheme="majorHAnsi" w:hAnsiTheme="majorHAnsi" w:cstheme="majorHAnsi"/>
      <w:color w:val="4F2D7F" w:themeColor="accent1"/>
      <w:sz w:val="26"/>
      <w:szCs w:val="28"/>
      <w:lang w:val="en-GB"/>
    </w:rPr>
  </w:style>
  <w:style w:type="paragraph" w:styleId="Testofumetto">
    <w:name w:val="Balloon Text"/>
    <w:basedOn w:val="Normale"/>
    <w:link w:val="TestofumettoCarattere"/>
    <w:uiPriority w:val="9"/>
    <w:rsid w:val="005876F4"/>
    <w:rPr>
      <w:rFonts w:ascii="Tahoma" w:hAnsi="Tahoma" w:cs="Tahoma"/>
      <w:sz w:val="16"/>
      <w:szCs w:val="16"/>
    </w:rPr>
  </w:style>
  <w:style w:type="character" w:customStyle="1" w:styleId="TestofumettoCarattere">
    <w:name w:val="Testo fumetto Carattere"/>
    <w:basedOn w:val="Carpredefinitoparagrafo"/>
    <w:link w:val="Testofumetto"/>
    <w:uiPriority w:val="9"/>
    <w:rsid w:val="005876F4"/>
    <w:rPr>
      <w:rFonts w:ascii="Tahoma" w:hAnsi="Tahoma" w:cs="Tahoma"/>
      <w:sz w:val="16"/>
      <w:szCs w:val="16"/>
      <w:lang w:val="en-GB"/>
    </w:rPr>
  </w:style>
  <w:style w:type="table" w:customStyle="1" w:styleId="GTITableStyle1">
    <w:name w:val="GTI Table Style 1"/>
    <w:basedOn w:val="Tabellanormale"/>
    <w:uiPriority w:val="99"/>
    <w:rsid w:val="005876F4"/>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CorpotestoCarattere">
    <w:name w:val="Corpo testo Carattere"/>
    <w:basedOn w:val="Carpredefinitoparagrafo"/>
    <w:link w:val="Corpotesto"/>
    <w:rsid w:val="005876F4"/>
    <w:rPr>
      <w:lang w:val="en-GB"/>
    </w:rPr>
  </w:style>
  <w:style w:type="numbering" w:customStyle="1" w:styleId="GTListBullet">
    <w:name w:val="GT List Bullet"/>
    <w:uiPriority w:val="99"/>
    <w:rsid w:val="005876F4"/>
    <w:pPr>
      <w:numPr>
        <w:numId w:val="2"/>
      </w:numPr>
    </w:pPr>
  </w:style>
  <w:style w:type="numbering" w:customStyle="1" w:styleId="GTListNumber">
    <w:name w:val="GT List Number"/>
    <w:uiPriority w:val="99"/>
    <w:rsid w:val="005876F4"/>
    <w:pPr>
      <w:numPr>
        <w:numId w:val="3"/>
      </w:numPr>
    </w:pPr>
  </w:style>
  <w:style w:type="numbering" w:customStyle="1" w:styleId="GTNumberedHeadings">
    <w:name w:val="GT Numbered Headings"/>
    <w:uiPriority w:val="99"/>
    <w:rsid w:val="005876F4"/>
    <w:pPr>
      <w:numPr>
        <w:numId w:val="4"/>
      </w:numPr>
    </w:pPr>
  </w:style>
  <w:style w:type="numbering" w:customStyle="1" w:styleId="GTParagraphBullet">
    <w:name w:val="GT Paragraph Bullet"/>
    <w:uiPriority w:val="99"/>
    <w:rsid w:val="005876F4"/>
    <w:pPr>
      <w:numPr>
        <w:numId w:val="5"/>
      </w:numPr>
    </w:pPr>
  </w:style>
  <w:style w:type="paragraph" w:styleId="Nessunaspaziatura">
    <w:name w:val="No Spacing"/>
    <w:uiPriority w:val="1"/>
    <w:rsid w:val="005876F4"/>
    <w:rPr>
      <w:rFonts w:cs="Arial"/>
      <w:lang w:val="en-GB"/>
    </w:rPr>
  </w:style>
  <w:style w:type="paragraph" w:styleId="Sommario4">
    <w:name w:val="toc 4"/>
    <w:basedOn w:val="Normale"/>
    <w:next w:val="Normale"/>
    <w:autoRedefine/>
    <w:uiPriority w:val="39"/>
    <w:semiHidden/>
    <w:unhideWhenUsed/>
    <w:rsid w:val="005876F4"/>
    <w:pPr>
      <w:tabs>
        <w:tab w:val="right" w:pos="8363"/>
      </w:tabs>
      <w:ind w:left="539"/>
    </w:pPr>
  </w:style>
  <w:style w:type="paragraph" w:styleId="Sommario5">
    <w:name w:val="toc 5"/>
    <w:basedOn w:val="Normale"/>
    <w:next w:val="Normale"/>
    <w:autoRedefine/>
    <w:uiPriority w:val="39"/>
    <w:semiHidden/>
    <w:unhideWhenUsed/>
    <w:rsid w:val="005876F4"/>
    <w:pPr>
      <w:tabs>
        <w:tab w:val="right" w:pos="8363"/>
      </w:tabs>
      <w:ind w:left="720"/>
    </w:pPr>
  </w:style>
  <w:style w:type="paragraph" w:styleId="Sommario6">
    <w:name w:val="toc 6"/>
    <w:basedOn w:val="Normale"/>
    <w:next w:val="Normale"/>
    <w:autoRedefine/>
    <w:uiPriority w:val="39"/>
    <w:semiHidden/>
    <w:unhideWhenUsed/>
    <w:rsid w:val="005876F4"/>
    <w:pPr>
      <w:ind w:left="902"/>
    </w:pPr>
  </w:style>
  <w:style w:type="paragraph" w:styleId="Sommario7">
    <w:name w:val="toc 7"/>
    <w:basedOn w:val="Normale"/>
    <w:next w:val="Normale"/>
    <w:autoRedefine/>
    <w:uiPriority w:val="39"/>
    <w:semiHidden/>
    <w:unhideWhenUsed/>
    <w:rsid w:val="005876F4"/>
    <w:pPr>
      <w:ind w:left="1077"/>
    </w:pPr>
  </w:style>
  <w:style w:type="paragraph" w:styleId="Sommario8">
    <w:name w:val="toc 8"/>
    <w:basedOn w:val="Normale"/>
    <w:next w:val="Normale"/>
    <w:autoRedefine/>
    <w:uiPriority w:val="39"/>
    <w:semiHidden/>
    <w:unhideWhenUsed/>
    <w:rsid w:val="005876F4"/>
    <w:pPr>
      <w:ind w:left="1259"/>
    </w:pPr>
  </w:style>
  <w:style w:type="paragraph" w:styleId="Sommario9">
    <w:name w:val="toc 9"/>
    <w:basedOn w:val="Normale"/>
    <w:next w:val="Normale"/>
    <w:autoRedefine/>
    <w:uiPriority w:val="39"/>
    <w:semiHidden/>
    <w:unhideWhenUsed/>
    <w:rsid w:val="005876F4"/>
    <w:pPr>
      <w:ind w:left="1440"/>
    </w:pPr>
  </w:style>
  <w:style w:type="character" w:customStyle="1" w:styleId="Titolo1Carattere">
    <w:name w:val="Titolo 1 Carattere"/>
    <w:basedOn w:val="Carpredefinitoparagrafo"/>
    <w:link w:val="Titolo1"/>
    <w:uiPriority w:val="1"/>
    <w:rsid w:val="005876F4"/>
    <w:rPr>
      <w:rFonts w:asciiTheme="majorHAnsi" w:hAnsiTheme="majorHAnsi" w:cstheme="majorHAnsi"/>
      <w:bCs/>
      <w:color w:val="4F2D7F" w:themeColor="accent1"/>
      <w:kern w:val="32"/>
      <w:sz w:val="36"/>
      <w:szCs w:val="28"/>
      <w:lang w:val="en-GB"/>
    </w:rPr>
  </w:style>
  <w:style w:type="character" w:customStyle="1" w:styleId="Titolo2Carattere">
    <w:name w:val="Titolo 2 Carattere"/>
    <w:basedOn w:val="Carpredefinitoparagrafo"/>
    <w:link w:val="Titolo2"/>
    <w:uiPriority w:val="1"/>
    <w:rsid w:val="005876F4"/>
    <w:rPr>
      <w:rFonts w:asciiTheme="majorHAnsi" w:hAnsiTheme="majorHAnsi" w:cstheme="majorHAnsi"/>
      <w:color w:val="4F2D7F" w:themeColor="accent1"/>
      <w:kern w:val="32"/>
      <w:sz w:val="26"/>
      <w:szCs w:val="19"/>
      <w:lang w:val="en-GB"/>
    </w:rPr>
  </w:style>
  <w:style w:type="character" w:customStyle="1" w:styleId="Titolo3Carattere">
    <w:name w:val="Titolo 3 Carattere"/>
    <w:basedOn w:val="Carpredefinitoparagrafo"/>
    <w:link w:val="Titolo3"/>
    <w:uiPriority w:val="1"/>
    <w:rsid w:val="005876F4"/>
    <w:rPr>
      <w:rFonts w:cstheme="minorHAnsi"/>
      <w:b/>
      <w:bCs/>
      <w:color w:val="4F2D7F" w:themeColor="accent1"/>
      <w:kern w:val="32"/>
      <w:lang w:val="en-GB"/>
    </w:rPr>
  </w:style>
  <w:style w:type="character" w:customStyle="1" w:styleId="Titolo4Carattere">
    <w:name w:val="Titolo 4 Carattere"/>
    <w:basedOn w:val="Carpredefinitoparagrafo"/>
    <w:link w:val="Titolo4"/>
    <w:uiPriority w:val="1"/>
    <w:rsid w:val="005876F4"/>
    <w:rPr>
      <w:rFonts w:cstheme="minorHAnsi"/>
      <w:color w:val="4F2D7F" w:themeColor="accent1"/>
      <w:kern w:val="32"/>
      <w:lang w:val="en-GB"/>
    </w:rPr>
  </w:style>
  <w:style w:type="character" w:customStyle="1" w:styleId="SottotitoloCarattere">
    <w:name w:val="Sottotitolo Carattere"/>
    <w:basedOn w:val="Carpredefinitoparagrafo"/>
    <w:link w:val="Sottotitolo"/>
    <w:uiPriority w:val="9"/>
    <w:rsid w:val="005876F4"/>
    <w:rPr>
      <w:rFonts w:asciiTheme="majorHAnsi" w:hAnsiTheme="majorHAnsi" w:cs="Arial"/>
      <w:bCs/>
      <w:kern w:val="28"/>
      <w:sz w:val="36"/>
      <w:szCs w:val="24"/>
      <w:lang w:val="en-GB"/>
    </w:rPr>
  </w:style>
  <w:style w:type="paragraph" w:customStyle="1" w:styleId="LetterFooter">
    <w:name w:val="Letter Footer"/>
    <w:uiPriority w:val="9"/>
    <w:semiHidden/>
    <w:rsid w:val="005876F4"/>
    <w:pPr>
      <w:spacing w:line="140" w:lineRule="atLeast"/>
    </w:pPr>
    <w:rPr>
      <w:rFonts w:ascii="Arial Narrow" w:hAnsi="Arial Narrow" w:cs="Arial"/>
      <w:sz w:val="12"/>
      <w:lang w:val="en-GB"/>
    </w:rPr>
  </w:style>
  <w:style w:type="character" w:customStyle="1" w:styleId="PidipaginaCarattere">
    <w:name w:val="Piè di pagina Carattere"/>
    <w:basedOn w:val="Carpredefinitoparagrafo"/>
    <w:link w:val="Pidipagina"/>
    <w:uiPriority w:val="9"/>
    <w:rsid w:val="005876F4"/>
    <w:rPr>
      <w:rFonts w:cs="Arial"/>
      <w:color w:val="000000" w:themeColor="text1"/>
      <w:sz w:val="12"/>
      <w:lang w:val="en-GB"/>
    </w:rPr>
  </w:style>
  <w:style w:type="paragraph" w:styleId="Bibliografia">
    <w:name w:val="Bibliography"/>
    <w:basedOn w:val="Normale"/>
    <w:next w:val="Normale"/>
    <w:uiPriority w:val="37"/>
    <w:semiHidden/>
    <w:unhideWhenUsed/>
    <w:rsid w:val="005876F4"/>
  </w:style>
  <w:style w:type="paragraph" w:styleId="Testodelblocco">
    <w:name w:val="Block Text"/>
    <w:basedOn w:val="Normale"/>
    <w:semiHidden/>
    <w:unhideWhenUsed/>
    <w:rsid w:val="005876F4"/>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Corpodeltesto2">
    <w:name w:val="Body Text 2"/>
    <w:basedOn w:val="Normale"/>
    <w:link w:val="Corpodeltesto2Carattere"/>
    <w:semiHidden/>
    <w:unhideWhenUsed/>
    <w:rsid w:val="005876F4"/>
    <w:pPr>
      <w:spacing w:line="480" w:lineRule="auto"/>
    </w:pPr>
  </w:style>
  <w:style w:type="character" w:customStyle="1" w:styleId="Corpodeltesto2Carattere">
    <w:name w:val="Corpo del testo 2 Carattere"/>
    <w:basedOn w:val="Carpredefinitoparagrafo"/>
    <w:link w:val="Corpodeltesto2"/>
    <w:semiHidden/>
    <w:rsid w:val="005876F4"/>
    <w:rPr>
      <w:lang w:val="en-GB"/>
    </w:rPr>
  </w:style>
  <w:style w:type="paragraph" w:styleId="Corpodeltesto3">
    <w:name w:val="Body Text 3"/>
    <w:basedOn w:val="Normale"/>
    <w:link w:val="Corpodeltesto3Carattere"/>
    <w:semiHidden/>
    <w:unhideWhenUsed/>
    <w:rsid w:val="005876F4"/>
    <w:rPr>
      <w:szCs w:val="16"/>
    </w:rPr>
  </w:style>
  <w:style w:type="character" w:customStyle="1" w:styleId="Corpodeltesto3Carattere">
    <w:name w:val="Corpo del testo 3 Carattere"/>
    <w:basedOn w:val="Carpredefinitoparagrafo"/>
    <w:link w:val="Corpodeltesto3"/>
    <w:semiHidden/>
    <w:rsid w:val="005876F4"/>
    <w:rPr>
      <w:szCs w:val="16"/>
      <w:lang w:val="en-GB"/>
    </w:rPr>
  </w:style>
  <w:style w:type="paragraph" w:styleId="Primorientrocorpodeltesto">
    <w:name w:val="Body Text First Indent"/>
    <w:basedOn w:val="Corpotesto"/>
    <w:link w:val="PrimorientrocorpodeltestoCarattere"/>
    <w:semiHidden/>
    <w:unhideWhenUsed/>
    <w:rsid w:val="005876F4"/>
    <w:pPr>
      <w:ind w:firstLine="360"/>
    </w:pPr>
  </w:style>
  <w:style w:type="character" w:customStyle="1" w:styleId="PrimorientrocorpodeltestoCarattere">
    <w:name w:val="Primo rientro corpo del testo Carattere"/>
    <w:basedOn w:val="CorpotestoCarattere"/>
    <w:link w:val="Primorientrocorpodeltesto"/>
    <w:semiHidden/>
    <w:rsid w:val="005876F4"/>
    <w:rPr>
      <w:lang w:val="en-GB"/>
    </w:rPr>
  </w:style>
  <w:style w:type="paragraph" w:styleId="Rientrocorpodeltesto">
    <w:name w:val="Body Text Indent"/>
    <w:basedOn w:val="Normale"/>
    <w:link w:val="RientrocorpodeltestoCarattere"/>
    <w:semiHidden/>
    <w:unhideWhenUsed/>
    <w:rsid w:val="005876F4"/>
    <w:pPr>
      <w:ind w:left="283"/>
    </w:pPr>
  </w:style>
  <w:style w:type="character" w:customStyle="1" w:styleId="RientrocorpodeltestoCarattere">
    <w:name w:val="Rientro corpo del testo Carattere"/>
    <w:basedOn w:val="Carpredefinitoparagrafo"/>
    <w:link w:val="Rientrocorpodeltesto"/>
    <w:semiHidden/>
    <w:rsid w:val="005876F4"/>
    <w:rPr>
      <w:lang w:val="en-GB"/>
    </w:rPr>
  </w:style>
  <w:style w:type="paragraph" w:styleId="Primorientrocorpodeltesto2">
    <w:name w:val="Body Text First Indent 2"/>
    <w:basedOn w:val="Rientrocorpodeltesto"/>
    <w:link w:val="Primorientrocorpodeltesto2Carattere"/>
    <w:semiHidden/>
    <w:unhideWhenUsed/>
    <w:rsid w:val="005876F4"/>
    <w:pPr>
      <w:ind w:left="360" w:firstLine="360"/>
    </w:pPr>
  </w:style>
  <w:style w:type="character" w:customStyle="1" w:styleId="Primorientrocorpodeltesto2Carattere">
    <w:name w:val="Primo rientro corpo del testo 2 Carattere"/>
    <w:basedOn w:val="RientrocorpodeltestoCarattere"/>
    <w:link w:val="Primorientrocorpodeltesto2"/>
    <w:semiHidden/>
    <w:rsid w:val="005876F4"/>
    <w:rPr>
      <w:lang w:val="en-GB"/>
    </w:rPr>
  </w:style>
  <w:style w:type="paragraph" w:styleId="Rientrocorpodeltesto2">
    <w:name w:val="Body Text Indent 2"/>
    <w:basedOn w:val="Normale"/>
    <w:link w:val="Rientrocorpodeltesto2Carattere"/>
    <w:semiHidden/>
    <w:unhideWhenUsed/>
    <w:rsid w:val="005876F4"/>
    <w:pPr>
      <w:spacing w:line="480" w:lineRule="auto"/>
      <w:ind w:left="283"/>
    </w:pPr>
  </w:style>
  <w:style w:type="character" w:customStyle="1" w:styleId="Rientrocorpodeltesto2Carattere">
    <w:name w:val="Rientro corpo del testo 2 Carattere"/>
    <w:basedOn w:val="Carpredefinitoparagrafo"/>
    <w:link w:val="Rientrocorpodeltesto2"/>
    <w:semiHidden/>
    <w:rsid w:val="005876F4"/>
    <w:rPr>
      <w:lang w:val="en-GB"/>
    </w:rPr>
  </w:style>
  <w:style w:type="paragraph" w:styleId="Rientrocorpodeltesto3">
    <w:name w:val="Body Text Indent 3"/>
    <w:basedOn w:val="Normale"/>
    <w:link w:val="Rientrocorpodeltesto3Carattere"/>
    <w:semiHidden/>
    <w:unhideWhenUsed/>
    <w:rsid w:val="005876F4"/>
    <w:pPr>
      <w:ind w:left="283"/>
    </w:pPr>
    <w:rPr>
      <w:szCs w:val="16"/>
    </w:rPr>
  </w:style>
  <w:style w:type="character" w:customStyle="1" w:styleId="Rientrocorpodeltesto3Carattere">
    <w:name w:val="Rientro corpo del testo 3 Carattere"/>
    <w:basedOn w:val="Carpredefinitoparagrafo"/>
    <w:link w:val="Rientrocorpodeltesto3"/>
    <w:semiHidden/>
    <w:rsid w:val="005876F4"/>
    <w:rPr>
      <w:szCs w:val="16"/>
      <w:lang w:val="en-GB"/>
    </w:rPr>
  </w:style>
  <w:style w:type="character" w:styleId="Titolodellibro">
    <w:name w:val="Book Title"/>
    <w:basedOn w:val="Carpredefinitoparagrafo"/>
    <w:uiPriority w:val="33"/>
    <w:rsid w:val="005876F4"/>
    <w:rPr>
      <w:b/>
      <w:bCs/>
      <w:i/>
      <w:iCs/>
      <w:spacing w:val="5"/>
      <w:lang w:val="en-GB"/>
    </w:rPr>
  </w:style>
  <w:style w:type="paragraph" w:styleId="Didascalia">
    <w:name w:val="caption"/>
    <w:basedOn w:val="Normale"/>
    <w:next w:val="Normale"/>
    <w:semiHidden/>
    <w:unhideWhenUsed/>
    <w:qFormat/>
    <w:rsid w:val="005876F4"/>
    <w:pPr>
      <w:spacing w:after="200" w:line="240" w:lineRule="auto"/>
    </w:pPr>
    <w:rPr>
      <w:i/>
      <w:iCs/>
    </w:rPr>
  </w:style>
  <w:style w:type="paragraph" w:styleId="Formuladichiusura">
    <w:name w:val="Closing"/>
    <w:basedOn w:val="Normale"/>
    <w:link w:val="FormuladichiusuraCarattere"/>
    <w:semiHidden/>
    <w:unhideWhenUsed/>
    <w:rsid w:val="005876F4"/>
    <w:pPr>
      <w:spacing w:after="0" w:line="240" w:lineRule="auto"/>
      <w:ind w:left="4252"/>
    </w:pPr>
  </w:style>
  <w:style w:type="character" w:customStyle="1" w:styleId="FormuladichiusuraCarattere">
    <w:name w:val="Formula di chiusura Carattere"/>
    <w:basedOn w:val="Carpredefinitoparagrafo"/>
    <w:link w:val="Formuladichiusura"/>
    <w:semiHidden/>
    <w:rsid w:val="005876F4"/>
    <w:rPr>
      <w:lang w:val="en-GB"/>
    </w:rPr>
  </w:style>
  <w:style w:type="character" w:styleId="Rimandocommento">
    <w:name w:val="annotation reference"/>
    <w:basedOn w:val="Carpredefinitoparagrafo"/>
    <w:semiHidden/>
    <w:unhideWhenUsed/>
    <w:rsid w:val="005876F4"/>
    <w:rPr>
      <w:sz w:val="16"/>
      <w:szCs w:val="16"/>
      <w:lang w:val="en-GB"/>
    </w:rPr>
  </w:style>
  <w:style w:type="paragraph" w:styleId="Testocommento">
    <w:name w:val="annotation text"/>
    <w:basedOn w:val="Normale"/>
    <w:link w:val="TestocommentoCarattere"/>
    <w:unhideWhenUsed/>
    <w:rsid w:val="005876F4"/>
    <w:pPr>
      <w:spacing w:line="240" w:lineRule="auto"/>
    </w:pPr>
    <w:rPr>
      <w:sz w:val="20"/>
    </w:rPr>
  </w:style>
  <w:style w:type="character" w:customStyle="1" w:styleId="TestocommentoCarattere">
    <w:name w:val="Testo commento Carattere"/>
    <w:basedOn w:val="Carpredefinitoparagrafo"/>
    <w:link w:val="Testocommento"/>
    <w:rsid w:val="005876F4"/>
    <w:rPr>
      <w:sz w:val="20"/>
      <w:lang w:val="en-GB"/>
    </w:rPr>
  </w:style>
  <w:style w:type="paragraph" w:styleId="Soggettocommento">
    <w:name w:val="annotation subject"/>
    <w:basedOn w:val="Testocommento"/>
    <w:next w:val="Testocommento"/>
    <w:link w:val="SoggettocommentoCarattere"/>
    <w:semiHidden/>
    <w:unhideWhenUsed/>
    <w:rsid w:val="005876F4"/>
    <w:rPr>
      <w:b/>
      <w:bCs/>
    </w:rPr>
  </w:style>
  <w:style w:type="character" w:customStyle="1" w:styleId="SoggettocommentoCarattere">
    <w:name w:val="Soggetto commento Carattere"/>
    <w:basedOn w:val="TestocommentoCarattere"/>
    <w:link w:val="Soggettocommento"/>
    <w:semiHidden/>
    <w:rsid w:val="005876F4"/>
    <w:rPr>
      <w:b/>
      <w:bCs/>
      <w:sz w:val="20"/>
      <w:lang w:val="en-GB"/>
    </w:rPr>
  </w:style>
  <w:style w:type="paragraph" w:styleId="Data">
    <w:name w:val="Date"/>
    <w:basedOn w:val="Normale"/>
    <w:next w:val="Normale"/>
    <w:link w:val="DataCarattere"/>
    <w:semiHidden/>
    <w:unhideWhenUsed/>
    <w:rsid w:val="005876F4"/>
  </w:style>
  <w:style w:type="character" w:customStyle="1" w:styleId="DataCarattere">
    <w:name w:val="Data Carattere"/>
    <w:basedOn w:val="Carpredefinitoparagrafo"/>
    <w:link w:val="Data"/>
    <w:semiHidden/>
    <w:rsid w:val="005876F4"/>
    <w:rPr>
      <w:lang w:val="en-GB"/>
    </w:rPr>
  </w:style>
  <w:style w:type="paragraph" w:styleId="Mappadocumento">
    <w:name w:val="Document Map"/>
    <w:basedOn w:val="Normale"/>
    <w:link w:val="MappadocumentoCarattere"/>
    <w:semiHidden/>
    <w:unhideWhenUsed/>
    <w:rsid w:val="005876F4"/>
    <w:pPr>
      <w:spacing w:after="0" w:line="240" w:lineRule="auto"/>
    </w:pPr>
    <w:rPr>
      <w:rFonts w:ascii="Segoe UI" w:hAnsi="Segoe UI" w:cs="Segoe UI"/>
      <w:sz w:val="16"/>
      <w:szCs w:val="16"/>
    </w:rPr>
  </w:style>
  <w:style w:type="character" w:customStyle="1" w:styleId="MappadocumentoCarattere">
    <w:name w:val="Mappa documento Carattere"/>
    <w:basedOn w:val="Carpredefinitoparagrafo"/>
    <w:link w:val="Mappadocumento"/>
    <w:semiHidden/>
    <w:rsid w:val="005876F4"/>
    <w:rPr>
      <w:rFonts w:ascii="Segoe UI" w:hAnsi="Segoe UI" w:cs="Segoe UI"/>
      <w:sz w:val="16"/>
      <w:szCs w:val="16"/>
      <w:lang w:val="en-GB"/>
    </w:rPr>
  </w:style>
  <w:style w:type="paragraph" w:styleId="Firmadipostaelettronica">
    <w:name w:val="E-mail Signature"/>
    <w:basedOn w:val="Normale"/>
    <w:link w:val="FirmadipostaelettronicaCarattere"/>
    <w:semiHidden/>
    <w:unhideWhenUsed/>
    <w:rsid w:val="005876F4"/>
    <w:pPr>
      <w:spacing w:after="0" w:line="240" w:lineRule="auto"/>
    </w:pPr>
  </w:style>
  <w:style w:type="character" w:customStyle="1" w:styleId="FirmadipostaelettronicaCarattere">
    <w:name w:val="Firma di posta elettronica Carattere"/>
    <w:basedOn w:val="Carpredefinitoparagrafo"/>
    <w:link w:val="Firmadipostaelettronica"/>
    <w:semiHidden/>
    <w:rsid w:val="005876F4"/>
    <w:rPr>
      <w:lang w:val="en-GB"/>
    </w:rPr>
  </w:style>
  <w:style w:type="character" w:styleId="Enfasicorsivo">
    <w:name w:val="Emphasis"/>
    <w:basedOn w:val="Carpredefinitoparagrafo"/>
    <w:rsid w:val="005876F4"/>
    <w:rPr>
      <w:i/>
      <w:iCs/>
      <w:lang w:val="en-GB"/>
    </w:rPr>
  </w:style>
  <w:style w:type="character" w:styleId="Rimandonotadichiusura">
    <w:name w:val="endnote reference"/>
    <w:basedOn w:val="Carpredefinitoparagrafo"/>
    <w:semiHidden/>
    <w:unhideWhenUsed/>
    <w:rsid w:val="005876F4"/>
    <w:rPr>
      <w:vertAlign w:val="superscript"/>
      <w:lang w:val="en-GB"/>
    </w:rPr>
  </w:style>
  <w:style w:type="paragraph" w:styleId="Testonotadichiusura">
    <w:name w:val="endnote text"/>
    <w:basedOn w:val="Normale"/>
    <w:link w:val="TestonotadichiusuraCarattere"/>
    <w:semiHidden/>
    <w:unhideWhenUsed/>
    <w:rsid w:val="005876F4"/>
    <w:pPr>
      <w:spacing w:after="0" w:line="240" w:lineRule="auto"/>
    </w:pPr>
    <w:rPr>
      <w:sz w:val="20"/>
    </w:rPr>
  </w:style>
  <w:style w:type="character" w:customStyle="1" w:styleId="TestonotadichiusuraCarattere">
    <w:name w:val="Testo nota di chiusura Carattere"/>
    <w:basedOn w:val="Carpredefinitoparagrafo"/>
    <w:link w:val="Testonotadichiusura"/>
    <w:semiHidden/>
    <w:rsid w:val="005876F4"/>
    <w:rPr>
      <w:sz w:val="20"/>
      <w:lang w:val="en-GB"/>
    </w:rPr>
  </w:style>
  <w:style w:type="paragraph" w:styleId="Indirizzodestinatario">
    <w:name w:val="envelope address"/>
    <w:basedOn w:val="Normale"/>
    <w:semiHidden/>
    <w:unhideWhenUsed/>
    <w:rsid w:val="005876F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Indirizzomittente">
    <w:name w:val="envelope return"/>
    <w:basedOn w:val="Normale"/>
    <w:semiHidden/>
    <w:unhideWhenUsed/>
    <w:rsid w:val="005876F4"/>
    <w:pPr>
      <w:spacing w:after="0" w:line="240" w:lineRule="auto"/>
    </w:pPr>
    <w:rPr>
      <w:rFonts w:asciiTheme="majorHAnsi" w:eastAsiaTheme="majorEastAsia" w:hAnsiTheme="majorHAnsi" w:cstheme="majorBidi"/>
      <w:sz w:val="20"/>
    </w:rPr>
  </w:style>
  <w:style w:type="character" w:styleId="Collegamentovisitato">
    <w:name w:val="FollowedHyperlink"/>
    <w:basedOn w:val="Carpredefinitoparagrafo"/>
    <w:semiHidden/>
    <w:unhideWhenUsed/>
    <w:rsid w:val="005876F4"/>
    <w:rPr>
      <w:color w:val="2B144C" w:themeColor="followedHyperlink"/>
      <w:u w:val="single"/>
      <w:lang w:val="en-GB"/>
    </w:rPr>
  </w:style>
  <w:style w:type="character" w:styleId="Rimandonotaapidipagina">
    <w:name w:val="footnote reference"/>
    <w:basedOn w:val="Carpredefinitoparagrafo"/>
    <w:uiPriority w:val="99"/>
    <w:semiHidden/>
    <w:unhideWhenUsed/>
    <w:rsid w:val="005876F4"/>
    <w:rPr>
      <w:vertAlign w:val="superscript"/>
      <w:lang w:val="en-GB"/>
    </w:rPr>
  </w:style>
  <w:style w:type="paragraph" w:styleId="Testonotaapidipagina">
    <w:name w:val="footnote text"/>
    <w:basedOn w:val="Normale"/>
    <w:link w:val="TestonotaapidipaginaCarattere"/>
    <w:uiPriority w:val="99"/>
    <w:semiHidden/>
    <w:unhideWhenUsed/>
    <w:rsid w:val="005876F4"/>
    <w:pPr>
      <w:spacing w:after="0" w:line="240" w:lineRule="auto"/>
    </w:pPr>
    <w:rPr>
      <w:sz w:val="20"/>
    </w:rPr>
  </w:style>
  <w:style w:type="character" w:customStyle="1" w:styleId="TestonotaapidipaginaCarattere">
    <w:name w:val="Testo nota a piè di pagina Carattere"/>
    <w:basedOn w:val="Carpredefinitoparagrafo"/>
    <w:link w:val="Testonotaapidipagina"/>
    <w:uiPriority w:val="99"/>
    <w:semiHidden/>
    <w:rsid w:val="005876F4"/>
    <w:rPr>
      <w:sz w:val="20"/>
      <w:lang w:val="en-GB"/>
    </w:rPr>
  </w:style>
  <w:style w:type="character" w:customStyle="1" w:styleId="Hashtag1">
    <w:name w:val="Hashtag1"/>
    <w:basedOn w:val="Carpredefinitoparagrafo"/>
    <w:uiPriority w:val="99"/>
    <w:semiHidden/>
    <w:unhideWhenUsed/>
    <w:rsid w:val="005876F4"/>
    <w:rPr>
      <w:color w:val="2B579A"/>
      <w:shd w:val="clear" w:color="auto" w:fill="E6E6E6"/>
      <w:lang w:val="en-GB"/>
    </w:rPr>
  </w:style>
  <w:style w:type="character" w:styleId="AcronimoHTML">
    <w:name w:val="HTML Acronym"/>
    <w:basedOn w:val="Carpredefinitoparagrafo"/>
    <w:semiHidden/>
    <w:unhideWhenUsed/>
    <w:rsid w:val="005876F4"/>
    <w:rPr>
      <w:lang w:val="en-GB"/>
    </w:rPr>
  </w:style>
  <w:style w:type="paragraph" w:styleId="IndirizzoHTML">
    <w:name w:val="HTML Address"/>
    <w:basedOn w:val="Normale"/>
    <w:link w:val="IndirizzoHTMLCarattere"/>
    <w:semiHidden/>
    <w:unhideWhenUsed/>
    <w:rsid w:val="005876F4"/>
    <w:pPr>
      <w:spacing w:after="0" w:line="240" w:lineRule="auto"/>
    </w:pPr>
    <w:rPr>
      <w:i/>
      <w:iCs/>
    </w:rPr>
  </w:style>
  <w:style w:type="character" w:customStyle="1" w:styleId="IndirizzoHTMLCarattere">
    <w:name w:val="Indirizzo HTML Carattere"/>
    <w:basedOn w:val="Carpredefinitoparagrafo"/>
    <w:link w:val="IndirizzoHTML"/>
    <w:semiHidden/>
    <w:rsid w:val="005876F4"/>
    <w:rPr>
      <w:i/>
      <w:iCs/>
      <w:lang w:val="en-GB"/>
    </w:rPr>
  </w:style>
  <w:style w:type="character" w:styleId="CitazioneHTML">
    <w:name w:val="HTML Cite"/>
    <w:basedOn w:val="Carpredefinitoparagrafo"/>
    <w:semiHidden/>
    <w:unhideWhenUsed/>
    <w:rsid w:val="005876F4"/>
    <w:rPr>
      <w:i/>
      <w:iCs/>
      <w:lang w:val="en-GB"/>
    </w:rPr>
  </w:style>
  <w:style w:type="character" w:styleId="CodiceHTML">
    <w:name w:val="HTML Code"/>
    <w:basedOn w:val="Carpredefinitoparagrafo"/>
    <w:semiHidden/>
    <w:unhideWhenUsed/>
    <w:rsid w:val="005876F4"/>
    <w:rPr>
      <w:rFonts w:ascii="Consolas" w:hAnsi="Consolas"/>
      <w:sz w:val="20"/>
      <w:szCs w:val="20"/>
      <w:lang w:val="en-GB"/>
    </w:rPr>
  </w:style>
  <w:style w:type="character" w:styleId="DefinizioneHTML">
    <w:name w:val="HTML Definition"/>
    <w:basedOn w:val="Carpredefinitoparagrafo"/>
    <w:semiHidden/>
    <w:unhideWhenUsed/>
    <w:rsid w:val="005876F4"/>
    <w:rPr>
      <w:i/>
      <w:iCs/>
      <w:lang w:val="en-GB"/>
    </w:rPr>
  </w:style>
  <w:style w:type="character" w:styleId="TastieraHTML">
    <w:name w:val="HTML Keyboard"/>
    <w:basedOn w:val="Carpredefinitoparagrafo"/>
    <w:semiHidden/>
    <w:unhideWhenUsed/>
    <w:rsid w:val="005876F4"/>
    <w:rPr>
      <w:rFonts w:ascii="Consolas" w:hAnsi="Consolas"/>
      <w:sz w:val="20"/>
      <w:szCs w:val="20"/>
      <w:lang w:val="en-GB"/>
    </w:rPr>
  </w:style>
  <w:style w:type="paragraph" w:styleId="PreformattatoHTML">
    <w:name w:val="HTML Preformatted"/>
    <w:basedOn w:val="Normale"/>
    <w:link w:val="PreformattatoHTMLCarattere"/>
    <w:semiHidden/>
    <w:unhideWhenUsed/>
    <w:rsid w:val="005876F4"/>
    <w:pPr>
      <w:spacing w:after="0" w:line="240" w:lineRule="auto"/>
    </w:pPr>
    <w:rPr>
      <w:rFonts w:ascii="Consolas" w:hAnsi="Consolas"/>
      <w:sz w:val="20"/>
    </w:rPr>
  </w:style>
  <w:style w:type="character" w:customStyle="1" w:styleId="PreformattatoHTMLCarattere">
    <w:name w:val="Preformattato HTML Carattere"/>
    <w:basedOn w:val="Carpredefinitoparagrafo"/>
    <w:link w:val="PreformattatoHTML"/>
    <w:semiHidden/>
    <w:rsid w:val="005876F4"/>
    <w:rPr>
      <w:rFonts w:ascii="Consolas" w:hAnsi="Consolas"/>
      <w:sz w:val="20"/>
      <w:lang w:val="en-GB"/>
    </w:rPr>
  </w:style>
  <w:style w:type="character" w:styleId="EsempioHTML">
    <w:name w:val="HTML Sample"/>
    <w:basedOn w:val="Carpredefinitoparagrafo"/>
    <w:semiHidden/>
    <w:unhideWhenUsed/>
    <w:rsid w:val="005876F4"/>
    <w:rPr>
      <w:rFonts w:ascii="Consolas" w:hAnsi="Consolas"/>
      <w:sz w:val="24"/>
      <w:szCs w:val="24"/>
      <w:lang w:val="en-GB"/>
    </w:rPr>
  </w:style>
  <w:style w:type="character" w:styleId="MacchinadascrivereHTML">
    <w:name w:val="HTML Typewriter"/>
    <w:basedOn w:val="Carpredefinitoparagrafo"/>
    <w:semiHidden/>
    <w:unhideWhenUsed/>
    <w:rsid w:val="005876F4"/>
    <w:rPr>
      <w:rFonts w:ascii="Consolas" w:hAnsi="Consolas"/>
      <w:sz w:val="20"/>
      <w:szCs w:val="20"/>
      <w:lang w:val="en-GB"/>
    </w:rPr>
  </w:style>
  <w:style w:type="character" w:styleId="VariabileHTML">
    <w:name w:val="HTML Variable"/>
    <w:basedOn w:val="Carpredefinitoparagrafo"/>
    <w:semiHidden/>
    <w:unhideWhenUsed/>
    <w:rsid w:val="005876F4"/>
    <w:rPr>
      <w:i/>
      <w:iCs/>
      <w:lang w:val="en-GB"/>
    </w:rPr>
  </w:style>
  <w:style w:type="character" w:styleId="Collegamentoipertestuale">
    <w:name w:val="Hyperlink"/>
    <w:basedOn w:val="Carpredefinitoparagrafo"/>
    <w:uiPriority w:val="99"/>
    <w:unhideWhenUsed/>
    <w:rsid w:val="005876F4"/>
    <w:rPr>
      <w:color w:val="2B144C" w:themeColor="hyperlink"/>
      <w:u w:val="single"/>
      <w:lang w:val="en-GB"/>
    </w:rPr>
  </w:style>
  <w:style w:type="paragraph" w:styleId="Indice1">
    <w:name w:val="index 1"/>
    <w:basedOn w:val="Normale"/>
    <w:next w:val="Normale"/>
    <w:autoRedefine/>
    <w:semiHidden/>
    <w:unhideWhenUsed/>
    <w:rsid w:val="005876F4"/>
    <w:pPr>
      <w:spacing w:after="0" w:line="240" w:lineRule="auto"/>
      <w:ind w:left="180" w:hanging="180"/>
    </w:pPr>
  </w:style>
  <w:style w:type="paragraph" w:styleId="Indice2">
    <w:name w:val="index 2"/>
    <w:basedOn w:val="Normale"/>
    <w:next w:val="Normale"/>
    <w:autoRedefine/>
    <w:semiHidden/>
    <w:unhideWhenUsed/>
    <w:rsid w:val="005876F4"/>
    <w:pPr>
      <w:spacing w:after="0" w:line="240" w:lineRule="auto"/>
      <w:ind w:left="360" w:hanging="180"/>
    </w:pPr>
  </w:style>
  <w:style w:type="paragraph" w:styleId="Indice3">
    <w:name w:val="index 3"/>
    <w:basedOn w:val="Normale"/>
    <w:next w:val="Normale"/>
    <w:autoRedefine/>
    <w:semiHidden/>
    <w:unhideWhenUsed/>
    <w:rsid w:val="005876F4"/>
    <w:pPr>
      <w:spacing w:after="0" w:line="240" w:lineRule="auto"/>
      <w:ind w:left="540" w:hanging="180"/>
    </w:pPr>
  </w:style>
  <w:style w:type="paragraph" w:styleId="Indice4">
    <w:name w:val="index 4"/>
    <w:basedOn w:val="Normale"/>
    <w:next w:val="Normale"/>
    <w:autoRedefine/>
    <w:semiHidden/>
    <w:unhideWhenUsed/>
    <w:rsid w:val="005876F4"/>
    <w:pPr>
      <w:spacing w:after="0" w:line="240" w:lineRule="auto"/>
      <w:ind w:left="720" w:hanging="180"/>
    </w:pPr>
  </w:style>
  <w:style w:type="paragraph" w:styleId="Indice5">
    <w:name w:val="index 5"/>
    <w:basedOn w:val="Normale"/>
    <w:next w:val="Normale"/>
    <w:autoRedefine/>
    <w:semiHidden/>
    <w:unhideWhenUsed/>
    <w:rsid w:val="005876F4"/>
    <w:pPr>
      <w:spacing w:after="0" w:line="240" w:lineRule="auto"/>
      <w:ind w:left="900" w:hanging="180"/>
    </w:pPr>
  </w:style>
  <w:style w:type="paragraph" w:styleId="Indice6">
    <w:name w:val="index 6"/>
    <w:basedOn w:val="Normale"/>
    <w:next w:val="Normale"/>
    <w:autoRedefine/>
    <w:semiHidden/>
    <w:unhideWhenUsed/>
    <w:rsid w:val="005876F4"/>
    <w:pPr>
      <w:spacing w:after="0" w:line="240" w:lineRule="auto"/>
      <w:ind w:left="1080" w:hanging="180"/>
    </w:pPr>
  </w:style>
  <w:style w:type="paragraph" w:styleId="Indice7">
    <w:name w:val="index 7"/>
    <w:basedOn w:val="Normale"/>
    <w:next w:val="Normale"/>
    <w:autoRedefine/>
    <w:semiHidden/>
    <w:unhideWhenUsed/>
    <w:rsid w:val="005876F4"/>
    <w:pPr>
      <w:spacing w:after="0" w:line="240" w:lineRule="auto"/>
      <w:ind w:left="1260" w:hanging="180"/>
    </w:pPr>
  </w:style>
  <w:style w:type="paragraph" w:styleId="Indice8">
    <w:name w:val="index 8"/>
    <w:basedOn w:val="Normale"/>
    <w:next w:val="Normale"/>
    <w:autoRedefine/>
    <w:semiHidden/>
    <w:unhideWhenUsed/>
    <w:rsid w:val="005876F4"/>
    <w:pPr>
      <w:spacing w:after="0" w:line="240" w:lineRule="auto"/>
      <w:ind w:left="1440" w:hanging="180"/>
    </w:pPr>
  </w:style>
  <w:style w:type="paragraph" w:styleId="Indice9">
    <w:name w:val="index 9"/>
    <w:basedOn w:val="Normale"/>
    <w:next w:val="Normale"/>
    <w:autoRedefine/>
    <w:semiHidden/>
    <w:unhideWhenUsed/>
    <w:rsid w:val="005876F4"/>
    <w:pPr>
      <w:spacing w:after="0" w:line="240" w:lineRule="auto"/>
      <w:ind w:left="1620" w:hanging="180"/>
    </w:pPr>
  </w:style>
  <w:style w:type="paragraph" w:styleId="Titoloindice">
    <w:name w:val="index heading"/>
    <w:basedOn w:val="Normale"/>
    <w:next w:val="Indice1"/>
    <w:semiHidden/>
    <w:unhideWhenUsed/>
    <w:rsid w:val="005876F4"/>
    <w:rPr>
      <w:rFonts w:asciiTheme="majorHAnsi" w:eastAsiaTheme="majorEastAsia" w:hAnsiTheme="majorHAnsi" w:cstheme="majorBidi"/>
      <w:b/>
      <w:bCs/>
    </w:rPr>
  </w:style>
  <w:style w:type="character" w:styleId="Enfasiintensa">
    <w:name w:val="Intense Emphasis"/>
    <w:basedOn w:val="Carpredefinitoparagrafo"/>
    <w:uiPriority w:val="21"/>
    <w:rsid w:val="005876F4"/>
    <w:rPr>
      <w:i/>
      <w:iCs/>
      <w:color w:val="4F2D7F" w:themeColor="accent1"/>
      <w:lang w:val="en-GB"/>
    </w:rPr>
  </w:style>
  <w:style w:type="paragraph" w:styleId="Citazioneintensa">
    <w:name w:val="Intense Quote"/>
    <w:basedOn w:val="Normale"/>
    <w:next w:val="Normale"/>
    <w:link w:val="CitazioneintensaCarattere"/>
    <w:uiPriority w:val="30"/>
    <w:rsid w:val="005876F4"/>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CitazioneintensaCarattere">
    <w:name w:val="Citazione intensa Carattere"/>
    <w:basedOn w:val="Carpredefinitoparagrafo"/>
    <w:link w:val="Citazioneintensa"/>
    <w:uiPriority w:val="30"/>
    <w:rsid w:val="005876F4"/>
    <w:rPr>
      <w:i/>
      <w:iCs/>
      <w:color w:val="4F2D7F" w:themeColor="accent1"/>
      <w:lang w:val="en-GB"/>
    </w:rPr>
  </w:style>
  <w:style w:type="character" w:styleId="Riferimentointenso">
    <w:name w:val="Intense Reference"/>
    <w:basedOn w:val="Carpredefinitoparagrafo"/>
    <w:uiPriority w:val="32"/>
    <w:rsid w:val="005876F4"/>
    <w:rPr>
      <w:b/>
      <w:bCs/>
      <w:smallCaps/>
      <w:color w:val="4F2D7F" w:themeColor="accent1"/>
      <w:spacing w:val="5"/>
      <w:lang w:val="en-GB"/>
    </w:rPr>
  </w:style>
  <w:style w:type="character" w:styleId="Numeroriga">
    <w:name w:val="line number"/>
    <w:basedOn w:val="Carpredefinitoparagrafo"/>
    <w:semiHidden/>
    <w:unhideWhenUsed/>
    <w:rsid w:val="005876F4"/>
    <w:rPr>
      <w:lang w:val="en-GB"/>
    </w:rPr>
  </w:style>
  <w:style w:type="paragraph" w:styleId="Elenco">
    <w:name w:val="List"/>
    <w:basedOn w:val="Normale"/>
    <w:uiPriority w:val="1"/>
    <w:semiHidden/>
    <w:unhideWhenUsed/>
    <w:rsid w:val="005876F4"/>
    <w:pPr>
      <w:ind w:left="283" w:hanging="283"/>
      <w:contextualSpacing/>
    </w:pPr>
  </w:style>
  <w:style w:type="paragraph" w:styleId="Elenco2">
    <w:name w:val="List 2"/>
    <w:basedOn w:val="Normale"/>
    <w:uiPriority w:val="1"/>
    <w:rsid w:val="005876F4"/>
    <w:pPr>
      <w:ind w:left="566" w:hanging="283"/>
      <w:contextualSpacing/>
    </w:pPr>
  </w:style>
  <w:style w:type="paragraph" w:styleId="Elenco3">
    <w:name w:val="List 3"/>
    <w:basedOn w:val="Normale"/>
    <w:uiPriority w:val="1"/>
    <w:semiHidden/>
    <w:unhideWhenUsed/>
    <w:rsid w:val="005876F4"/>
    <w:pPr>
      <w:ind w:left="849" w:hanging="283"/>
      <w:contextualSpacing/>
    </w:pPr>
  </w:style>
  <w:style w:type="paragraph" w:styleId="Elenco4">
    <w:name w:val="List 4"/>
    <w:basedOn w:val="Normale"/>
    <w:uiPriority w:val="1"/>
    <w:semiHidden/>
    <w:unhideWhenUsed/>
    <w:rsid w:val="005876F4"/>
    <w:pPr>
      <w:ind w:left="1132" w:hanging="283"/>
      <w:contextualSpacing/>
    </w:pPr>
  </w:style>
  <w:style w:type="paragraph" w:styleId="Elenco5">
    <w:name w:val="List 5"/>
    <w:basedOn w:val="Normale"/>
    <w:uiPriority w:val="1"/>
    <w:semiHidden/>
    <w:unhideWhenUsed/>
    <w:rsid w:val="005876F4"/>
    <w:pPr>
      <w:ind w:left="1415" w:hanging="283"/>
      <w:contextualSpacing/>
    </w:pPr>
  </w:style>
  <w:style w:type="paragraph" w:styleId="Puntoelenco3">
    <w:name w:val="List Bullet 3"/>
    <w:basedOn w:val="Normale"/>
    <w:uiPriority w:val="1"/>
    <w:qFormat/>
    <w:rsid w:val="005876F4"/>
    <w:pPr>
      <w:numPr>
        <w:ilvl w:val="2"/>
        <w:numId w:val="12"/>
      </w:numPr>
    </w:pPr>
  </w:style>
  <w:style w:type="paragraph" w:styleId="Puntoelenco4">
    <w:name w:val="List Bullet 4"/>
    <w:basedOn w:val="Normale"/>
    <w:uiPriority w:val="1"/>
    <w:semiHidden/>
    <w:unhideWhenUsed/>
    <w:rsid w:val="005876F4"/>
    <w:pPr>
      <w:numPr>
        <w:numId w:val="13"/>
      </w:numPr>
      <w:contextualSpacing/>
    </w:pPr>
  </w:style>
  <w:style w:type="paragraph" w:styleId="Puntoelenco5">
    <w:name w:val="List Bullet 5"/>
    <w:basedOn w:val="Normale"/>
    <w:uiPriority w:val="1"/>
    <w:semiHidden/>
    <w:unhideWhenUsed/>
    <w:rsid w:val="005876F4"/>
    <w:pPr>
      <w:numPr>
        <w:numId w:val="14"/>
      </w:numPr>
      <w:contextualSpacing/>
    </w:pPr>
  </w:style>
  <w:style w:type="paragraph" w:styleId="Elencocontinua">
    <w:name w:val="List Continue"/>
    <w:basedOn w:val="Normale"/>
    <w:uiPriority w:val="2"/>
    <w:semiHidden/>
    <w:unhideWhenUsed/>
    <w:rsid w:val="005876F4"/>
    <w:pPr>
      <w:ind w:left="283"/>
      <w:contextualSpacing/>
    </w:pPr>
  </w:style>
  <w:style w:type="paragraph" w:styleId="Elencocontinua2">
    <w:name w:val="List Continue 2"/>
    <w:basedOn w:val="Normale"/>
    <w:uiPriority w:val="2"/>
    <w:semiHidden/>
    <w:unhideWhenUsed/>
    <w:rsid w:val="005876F4"/>
    <w:pPr>
      <w:ind w:left="566"/>
      <w:contextualSpacing/>
    </w:pPr>
  </w:style>
  <w:style w:type="paragraph" w:styleId="Elencocontinua3">
    <w:name w:val="List Continue 3"/>
    <w:basedOn w:val="Normale"/>
    <w:uiPriority w:val="2"/>
    <w:semiHidden/>
    <w:unhideWhenUsed/>
    <w:rsid w:val="005876F4"/>
    <w:pPr>
      <w:ind w:left="849"/>
      <w:contextualSpacing/>
    </w:pPr>
  </w:style>
  <w:style w:type="paragraph" w:styleId="Elencocontinua4">
    <w:name w:val="List Continue 4"/>
    <w:basedOn w:val="Normale"/>
    <w:uiPriority w:val="2"/>
    <w:rsid w:val="005876F4"/>
    <w:pPr>
      <w:ind w:left="1132"/>
      <w:contextualSpacing/>
    </w:pPr>
  </w:style>
  <w:style w:type="paragraph" w:styleId="Elencocontinua5">
    <w:name w:val="List Continue 5"/>
    <w:basedOn w:val="Normale"/>
    <w:uiPriority w:val="2"/>
    <w:rsid w:val="005876F4"/>
    <w:pPr>
      <w:ind w:left="1415"/>
      <w:contextualSpacing/>
    </w:pPr>
  </w:style>
  <w:style w:type="paragraph" w:styleId="Numeroelenco4">
    <w:name w:val="List Number 4"/>
    <w:basedOn w:val="Normale"/>
    <w:uiPriority w:val="2"/>
    <w:semiHidden/>
    <w:unhideWhenUsed/>
    <w:rsid w:val="005876F4"/>
    <w:pPr>
      <w:numPr>
        <w:numId w:val="16"/>
      </w:numPr>
      <w:contextualSpacing/>
    </w:pPr>
  </w:style>
  <w:style w:type="paragraph" w:styleId="Numeroelenco5">
    <w:name w:val="List Number 5"/>
    <w:basedOn w:val="Normale"/>
    <w:uiPriority w:val="2"/>
    <w:semiHidden/>
    <w:unhideWhenUsed/>
    <w:rsid w:val="005876F4"/>
    <w:pPr>
      <w:numPr>
        <w:numId w:val="17"/>
      </w:numPr>
      <w:contextualSpacing/>
    </w:pPr>
  </w:style>
  <w:style w:type="paragraph" w:styleId="Paragrafoelenco">
    <w:name w:val="List Paragraph"/>
    <w:basedOn w:val="Normale"/>
    <w:uiPriority w:val="34"/>
    <w:qFormat/>
    <w:rsid w:val="005876F4"/>
    <w:pPr>
      <w:ind w:left="720"/>
      <w:contextualSpacing/>
    </w:pPr>
  </w:style>
  <w:style w:type="character" w:customStyle="1" w:styleId="Mention1">
    <w:name w:val="Mention1"/>
    <w:basedOn w:val="Carpredefinitoparagrafo"/>
    <w:uiPriority w:val="99"/>
    <w:semiHidden/>
    <w:unhideWhenUsed/>
    <w:rsid w:val="005876F4"/>
    <w:rPr>
      <w:color w:val="2B579A"/>
      <w:shd w:val="clear" w:color="auto" w:fill="E6E6E6"/>
      <w:lang w:val="en-GB"/>
    </w:rPr>
  </w:style>
  <w:style w:type="paragraph" w:styleId="Intestazionemessaggio">
    <w:name w:val="Message Header"/>
    <w:basedOn w:val="Normale"/>
    <w:link w:val="IntestazionemessaggioCarattere"/>
    <w:rsid w:val="005876F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5876F4"/>
    <w:rPr>
      <w:rFonts w:asciiTheme="majorHAnsi" w:eastAsiaTheme="majorEastAsia" w:hAnsiTheme="majorHAnsi" w:cstheme="majorBidi"/>
      <w:sz w:val="24"/>
      <w:szCs w:val="24"/>
      <w:shd w:val="pct20" w:color="auto" w:fill="auto"/>
      <w:lang w:val="en-GB"/>
    </w:rPr>
  </w:style>
  <w:style w:type="paragraph" w:styleId="NormaleWeb">
    <w:name w:val="Normal (Web)"/>
    <w:basedOn w:val="Normale"/>
    <w:uiPriority w:val="11"/>
    <w:semiHidden/>
    <w:unhideWhenUsed/>
    <w:rsid w:val="005876F4"/>
    <w:rPr>
      <w:rFonts w:ascii="Times New Roman" w:hAnsi="Times New Roman"/>
      <w:sz w:val="24"/>
      <w:szCs w:val="24"/>
    </w:rPr>
  </w:style>
  <w:style w:type="paragraph" w:styleId="Rientronormale">
    <w:name w:val="Normal Indent"/>
    <w:basedOn w:val="Normale"/>
    <w:semiHidden/>
    <w:unhideWhenUsed/>
    <w:rsid w:val="005876F4"/>
    <w:pPr>
      <w:ind w:left="720"/>
    </w:pPr>
  </w:style>
  <w:style w:type="paragraph" w:styleId="Intestazionenota">
    <w:name w:val="Note Heading"/>
    <w:basedOn w:val="Normale"/>
    <w:next w:val="Normale"/>
    <w:link w:val="IntestazionenotaCarattere"/>
    <w:semiHidden/>
    <w:unhideWhenUsed/>
    <w:rsid w:val="005876F4"/>
    <w:pPr>
      <w:spacing w:after="0" w:line="240" w:lineRule="auto"/>
    </w:pPr>
  </w:style>
  <w:style w:type="character" w:customStyle="1" w:styleId="IntestazionenotaCarattere">
    <w:name w:val="Intestazione nota Carattere"/>
    <w:basedOn w:val="Carpredefinitoparagrafo"/>
    <w:link w:val="Intestazionenota"/>
    <w:semiHidden/>
    <w:rsid w:val="005876F4"/>
    <w:rPr>
      <w:lang w:val="en-GB"/>
    </w:rPr>
  </w:style>
  <w:style w:type="character" w:styleId="Numeropagina">
    <w:name w:val="page number"/>
    <w:basedOn w:val="Carpredefinitoparagrafo"/>
    <w:semiHidden/>
    <w:unhideWhenUsed/>
    <w:rsid w:val="005876F4"/>
    <w:rPr>
      <w:lang w:val="en-GB"/>
    </w:rPr>
  </w:style>
  <w:style w:type="character" w:styleId="Testosegnaposto">
    <w:name w:val="Placeholder Text"/>
    <w:basedOn w:val="Carpredefinitoparagrafo"/>
    <w:uiPriority w:val="99"/>
    <w:semiHidden/>
    <w:rsid w:val="005876F4"/>
    <w:rPr>
      <w:color w:val="808080"/>
      <w:lang w:val="en-GB"/>
    </w:rPr>
  </w:style>
  <w:style w:type="paragraph" w:styleId="Testonormale">
    <w:name w:val="Plain Text"/>
    <w:basedOn w:val="Normale"/>
    <w:link w:val="TestonormaleCarattere"/>
    <w:semiHidden/>
    <w:unhideWhenUsed/>
    <w:rsid w:val="005876F4"/>
    <w:pPr>
      <w:spacing w:after="0" w:line="240" w:lineRule="auto"/>
    </w:pPr>
    <w:rPr>
      <w:rFonts w:ascii="Consolas" w:hAnsi="Consolas"/>
      <w:szCs w:val="21"/>
    </w:rPr>
  </w:style>
  <w:style w:type="character" w:customStyle="1" w:styleId="TestonormaleCarattere">
    <w:name w:val="Testo normale Carattere"/>
    <w:basedOn w:val="Carpredefinitoparagrafo"/>
    <w:link w:val="Testonormale"/>
    <w:semiHidden/>
    <w:rsid w:val="005876F4"/>
    <w:rPr>
      <w:rFonts w:ascii="Consolas" w:hAnsi="Consolas"/>
      <w:szCs w:val="21"/>
      <w:lang w:val="en-GB"/>
    </w:rPr>
  </w:style>
  <w:style w:type="paragraph" w:styleId="Formuladiapertura">
    <w:name w:val="Salutation"/>
    <w:basedOn w:val="Normale"/>
    <w:next w:val="Normale"/>
    <w:link w:val="FormuladiaperturaCarattere"/>
    <w:semiHidden/>
    <w:unhideWhenUsed/>
    <w:rsid w:val="005876F4"/>
  </w:style>
  <w:style w:type="character" w:customStyle="1" w:styleId="FormuladiaperturaCarattere">
    <w:name w:val="Formula di apertura Carattere"/>
    <w:basedOn w:val="Carpredefinitoparagrafo"/>
    <w:link w:val="Formuladiapertura"/>
    <w:semiHidden/>
    <w:rsid w:val="005876F4"/>
    <w:rPr>
      <w:lang w:val="en-GB"/>
    </w:rPr>
  </w:style>
  <w:style w:type="paragraph" w:styleId="Firma">
    <w:name w:val="Signature"/>
    <w:basedOn w:val="Normale"/>
    <w:link w:val="FirmaCarattere"/>
    <w:semiHidden/>
    <w:unhideWhenUsed/>
    <w:rsid w:val="005876F4"/>
    <w:pPr>
      <w:spacing w:after="0" w:line="240" w:lineRule="auto"/>
      <w:ind w:left="4252"/>
    </w:pPr>
  </w:style>
  <w:style w:type="character" w:customStyle="1" w:styleId="FirmaCarattere">
    <w:name w:val="Firma Carattere"/>
    <w:basedOn w:val="Carpredefinitoparagrafo"/>
    <w:link w:val="Firma"/>
    <w:semiHidden/>
    <w:rsid w:val="005876F4"/>
    <w:rPr>
      <w:lang w:val="en-GB"/>
    </w:rPr>
  </w:style>
  <w:style w:type="character" w:customStyle="1" w:styleId="SmartHyperlink1">
    <w:name w:val="Smart Hyperlink1"/>
    <w:basedOn w:val="Carpredefinitoparagrafo"/>
    <w:uiPriority w:val="99"/>
    <w:semiHidden/>
    <w:unhideWhenUsed/>
    <w:rsid w:val="005876F4"/>
    <w:rPr>
      <w:u w:val="dotted"/>
      <w:lang w:val="en-GB"/>
    </w:rPr>
  </w:style>
  <w:style w:type="character" w:styleId="Enfasigrassetto">
    <w:name w:val="Strong"/>
    <w:basedOn w:val="Carpredefinitoparagrafo"/>
    <w:rsid w:val="005876F4"/>
    <w:rPr>
      <w:b/>
      <w:bCs/>
      <w:lang w:val="en-GB"/>
    </w:rPr>
  </w:style>
  <w:style w:type="character" w:styleId="Enfasidelicata">
    <w:name w:val="Subtle Emphasis"/>
    <w:basedOn w:val="Carpredefinitoparagrafo"/>
    <w:uiPriority w:val="19"/>
    <w:rsid w:val="005876F4"/>
    <w:rPr>
      <w:i/>
      <w:iCs/>
      <w:color w:val="404040" w:themeColor="text1" w:themeTint="BF"/>
      <w:lang w:val="en-GB"/>
    </w:rPr>
  </w:style>
  <w:style w:type="character" w:styleId="Riferimentodelicato">
    <w:name w:val="Subtle Reference"/>
    <w:basedOn w:val="Carpredefinitoparagrafo"/>
    <w:uiPriority w:val="31"/>
    <w:rsid w:val="005876F4"/>
    <w:rPr>
      <w:smallCaps/>
      <w:color w:val="5A5A5A" w:themeColor="text1" w:themeTint="A5"/>
      <w:lang w:val="en-GB"/>
    </w:rPr>
  </w:style>
  <w:style w:type="paragraph" w:styleId="Indicefonti">
    <w:name w:val="table of authorities"/>
    <w:basedOn w:val="Normale"/>
    <w:next w:val="Normale"/>
    <w:semiHidden/>
    <w:unhideWhenUsed/>
    <w:rsid w:val="005876F4"/>
    <w:pPr>
      <w:spacing w:after="0"/>
      <w:ind w:left="180" w:hanging="180"/>
    </w:pPr>
  </w:style>
  <w:style w:type="paragraph" w:styleId="Indicedellefigure">
    <w:name w:val="table of figures"/>
    <w:basedOn w:val="Normale"/>
    <w:next w:val="Normale"/>
    <w:semiHidden/>
    <w:unhideWhenUsed/>
    <w:rsid w:val="005876F4"/>
    <w:pPr>
      <w:spacing w:after="0"/>
    </w:pPr>
  </w:style>
  <w:style w:type="paragraph" w:styleId="Titoloindicefonti">
    <w:name w:val="toa heading"/>
    <w:basedOn w:val="Normale"/>
    <w:next w:val="Normale"/>
    <w:rsid w:val="005876F4"/>
    <w:pPr>
      <w:spacing w:before="120"/>
    </w:pPr>
    <w:rPr>
      <w:rFonts w:asciiTheme="majorHAnsi" w:eastAsiaTheme="majorEastAsia" w:hAnsiTheme="majorHAnsi" w:cstheme="majorBidi"/>
      <w:b/>
      <w:bCs/>
      <w:sz w:val="24"/>
      <w:szCs w:val="24"/>
    </w:rPr>
  </w:style>
  <w:style w:type="paragraph" w:styleId="Titolosommario">
    <w:name w:val="TOC Heading"/>
    <w:basedOn w:val="Titolo1"/>
    <w:next w:val="Normale"/>
    <w:uiPriority w:val="39"/>
    <w:unhideWhenUsed/>
    <w:qFormat/>
    <w:rsid w:val="005876F4"/>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5876F4"/>
    <w:rPr>
      <w:b/>
      <w:sz w:val="14"/>
    </w:rPr>
  </w:style>
  <w:style w:type="character" w:customStyle="1" w:styleId="IntestazioneCarattere">
    <w:name w:val="Intestazione Carattere"/>
    <w:basedOn w:val="Carpredefinitoparagrafo"/>
    <w:link w:val="Intestazione"/>
    <w:rsid w:val="005876F4"/>
    <w:rPr>
      <w:rFonts w:cs="Arial"/>
      <w:b/>
      <w:sz w:val="16"/>
      <w:lang w:val="en-GB"/>
    </w:rPr>
  </w:style>
  <w:style w:type="paragraph" w:customStyle="1" w:styleId="Smlspace">
    <w:name w:val="Sml space"/>
    <w:basedOn w:val="Copyright"/>
    <w:semiHidden/>
    <w:qFormat/>
    <w:rsid w:val="005876F4"/>
    <w:pPr>
      <w:framePr w:hSpace="180" w:wrap="around" w:vAnchor="text" w:hAnchor="text" w:y="10232"/>
      <w:spacing w:after="80" w:line="240" w:lineRule="auto"/>
    </w:pPr>
    <w:rPr>
      <w:color w:val="4F2D7F" w:themeColor="accent1"/>
      <w:sz w:val="2"/>
      <w:szCs w:val="2"/>
    </w:rPr>
  </w:style>
  <w:style w:type="paragraph" w:customStyle="1" w:styleId="LetterFooterURL">
    <w:name w:val="Letter Footer URL"/>
    <w:basedOn w:val="LetterFooter"/>
    <w:uiPriority w:val="9"/>
    <w:semiHidden/>
    <w:rsid w:val="005876F4"/>
    <w:pPr>
      <w:jc w:val="right"/>
    </w:pPr>
    <w:rPr>
      <w:rFonts w:asciiTheme="minorHAnsi" w:hAnsiTheme="minorHAnsi"/>
      <w:b/>
      <w:sz w:val="16"/>
    </w:rPr>
  </w:style>
  <w:style w:type="table" w:customStyle="1" w:styleId="GTITableStyle2">
    <w:name w:val="GTI Table Style 2"/>
    <w:basedOn w:val="GTITableStyle1"/>
    <w:uiPriority w:val="99"/>
    <w:rsid w:val="005876F4"/>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5876F4"/>
    <w:pPr>
      <w:numPr>
        <w:numId w:val="6"/>
      </w:numPr>
    </w:pPr>
  </w:style>
  <w:style w:type="numbering" w:customStyle="1" w:styleId="GTTableNumbers">
    <w:name w:val="GT Table Numbers"/>
    <w:uiPriority w:val="99"/>
    <w:rsid w:val="005876F4"/>
    <w:pPr>
      <w:numPr>
        <w:numId w:val="7"/>
      </w:numPr>
    </w:pPr>
  </w:style>
  <w:style w:type="paragraph" w:customStyle="1" w:styleId="TableBullet1">
    <w:name w:val="Table Bullet 1"/>
    <w:basedOn w:val="Puntoelenco"/>
    <w:uiPriority w:val="14"/>
    <w:qFormat/>
    <w:rsid w:val="005876F4"/>
    <w:pPr>
      <w:numPr>
        <w:numId w:val="21"/>
      </w:numPr>
      <w:spacing w:before="60" w:after="60"/>
    </w:pPr>
    <w:rPr>
      <w:sz w:val="16"/>
    </w:rPr>
  </w:style>
  <w:style w:type="paragraph" w:customStyle="1" w:styleId="TableBullet2">
    <w:name w:val="Table Bullet 2"/>
    <w:basedOn w:val="Puntoelenco2"/>
    <w:uiPriority w:val="14"/>
    <w:qFormat/>
    <w:rsid w:val="005876F4"/>
    <w:pPr>
      <w:numPr>
        <w:numId w:val="21"/>
      </w:numPr>
      <w:spacing w:before="60" w:after="60"/>
    </w:pPr>
    <w:rPr>
      <w:sz w:val="16"/>
    </w:rPr>
  </w:style>
  <w:style w:type="paragraph" w:customStyle="1" w:styleId="TableBullet3">
    <w:name w:val="Table Bullet 3"/>
    <w:basedOn w:val="Puntoelenco3"/>
    <w:uiPriority w:val="14"/>
    <w:qFormat/>
    <w:rsid w:val="005876F4"/>
    <w:pPr>
      <w:numPr>
        <w:numId w:val="21"/>
      </w:numPr>
      <w:spacing w:before="60" w:after="60"/>
    </w:pPr>
    <w:rPr>
      <w:sz w:val="16"/>
    </w:rPr>
  </w:style>
  <w:style w:type="paragraph" w:customStyle="1" w:styleId="TableNumber">
    <w:name w:val="Table Number"/>
    <w:basedOn w:val="Numeroelenco"/>
    <w:uiPriority w:val="14"/>
    <w:qFormat/>
    <w:rsid w:val="005876F4"/>
    <w:pPr>
      <w:numPr>
        <w:numId w:val="22"/>
      </w:numPr>
      <w:spacing w:before="60" w:after="60"/>
    </w:pPr>
    <w:rPr>
      <w:sz w:val="16"/>
    </w:rPr>
  </w:style>
  <w:style w:type="paragraph" w:customStyle="1" w:styleId="TableNumber2">
    <w:name w:val="Table Number 2"/>
    <w:basedOn w:val="Numeroelenco2"/>
    <w:uiPriority w:val="14"/>
    <w:qFormat/>
    <w:rsid w:val="005876F4"/>
    <w:pPr>
      <w:numPr>
        <w:numId w:val="22"/>
      </w:numPr>
      <w:spacing w:before="60" w:after="60"/>
    </w:pPr>
    <w:rPr>
      <w:sz w:val="16"/>
    </w:rPr>
  </w:style>
  <w:style w:type="paragraph" w:customStyle="1" w:styleId="TableNumber3">
    <w:name w:val="Table Number 3"/>
    <w:basedOn w:val="Numeroelenco3"/>
    <w:uiPriority w:val="14"/>
    <w:qFormat/>
    <w:rsid w:val="005876F4"/>
    <w:pPr>
      <w:numPr>
        <w:numId w:val="22"/>
      </w:numPr>
      <w:spacing w:before="60" w:after="60"/>
    </w:pPr>
    <w:rPr>
      <w:sz w:val="16"/>
    </w:rPr>
  </w:style>
  <w:style w:type="character" w:customStyle="1" w:styleId="PuntoelencoCarattere">
    <w:name w:val="Punto elenco Carattere"/>
    <w:basedOn w:val="Carpredefinitoparagrafo"/>
    <w:link w:val="Puntoelenco"/>
    <w:uiPriority w:val="1"/>
    <w:rsid w:val="005876F4"/>
    <w:rPr>
      <w:lang w:val="en-GB"/>
    </w:rPr>
  </w:style>
  <w:style w:type="character" w:customStyle="1" w:styleId="PageNumber">
    <w:name w:val="PageNumber"/>
    <w:basedOn w:val="Numeropagina"/>
    <w:uiPriority w:val="1"/>
    <w:rsid w:val="005876F4"/>
    <w:rPr>
      <w:rFonts w:asciiTheme="minorHAnsi" w:hAnsiTheme="minorHAnsi"/>
      <w:b/>
      <w:color w:val="000000" w:themeColor="text1"/>
      <w:sz w:val="12"/>
      <w:lang w:val="en-GB"/>
    </w:rPr>
  </w:style>
  <w:style w:type="paragraph" w:customStyle="1" w:styleId="Comments">
    <w:name w:val="Comments"/>
    <w:basedOn w:val="Corpotesto"/>
    <w:uiPriority w:val="99"/>
    <w:rsid w:val="005876F4"/>
    <w:rPr>
      <w:sz w:val="16"/>
    </w:rPr>
  </w:style>
  <w:style w:type="paragraph" w:customStyle="1" w:styleId="LetterHeading">
    <w:name w:val="Letter Heading"/>
    <w:basedOn w:val="Titolo2"/>
    <w:next w:val="Corpotesto"/>
    <w:uiPriority w:val="1"/>
    <w:rsid w:val="005876F4"/>
  </w:style>
  <w:style w:type="paragraph" w:customStyle="1" w:styleId="LetterHeadingBlack">
    <w:name w:val="Letter Heading Black"/>
    <w:basedOn w:val="LetterHeading"/>
    <w:next w:val="Corpotesto"/>
    <w:uiPriority w:val="1"/>
    <w:rsid w:val="005876F4"/>
    <w:rPr>
      <w:color w:val="000000" w:themeColor="text1"/>
    </w:rPr>
  </w:style>
  <w:style w:type="paragraph" w:customStyle="1" w:styleId="LetterSubHeading1">
    <w:name w:val="Letter Sub Heading 1"/>
    <w:basedOn w:val="Titolo3"/>
    <w:next w:val="Corpotesto"/>
    <w:uiPriority w:val="1"/>
    <w:rsid w:val="005876F4"/>
  </w:style>
  <w:style w:type="paragraph" w:customStyle="1" w:styleId="LetterSubHeading1Black">
    <w:name w:val="Letter Sub Heading 1 Black"/>
    <w:basedOn w:val="LetterSubHeading1"/>
    <w:next w:val="Corpotesto"/>
    <w:uiPriority w:val="1"/>
    <w:rsid w:val="005876F4"/>
    <w:rPr>
      <w:color w:val="000000" w:themeColor="text1"/>
    </w:rPr>
  </w:style>
  <w:style w:type="paragraph" w:customStyle="1" w:styleId="LetterSubHeading2">
    <w:name w:val="Letter Sub Heading 2"/>
    <w:basedOn w:val="Titolo4"/>
    <w:next w:val="Corpotesto"/>
    <w:uiPriority w:val="1"/>
    <w:rsid w:val="005876F4"/>
  </w:style>
  <w:style w:type="paragraph" w:customStyle="1" w:styleId="LetterSubHeading2Black">
    <w:name w:val="Letter Sub Heading 2 Black"/>
    <w:basedOn w:val="LetterSubHeading2"/>
    <w:next w:val="Corpotesto"/>
    <w:uiPriority w:val="1"/>
    <w:rsid w:val="005876F4"/>
    <w:rPr>
      <w:color w:val="000000" w:themeColor="text1"/>
    </w:rPr>
  </w:style>
  <w:style w:type="numbering" w:customStyle="1" w:styleId="GTNumberedLetterHeadings">
    <w:name w:val="GT Numbered Letter Headings"/>
    <w:uiPriority w:val="99"/>
    <w:rsid w:val="005876F4"/>
    <w:pPr>
      <w:numPr>
        <w:numId w:val="8"/>
      </w:numPr>
    </w:pPr>
  </w:style>
  <w:style w:type="paragraph" w:customStyle="1" w:styleId="NumberedLetterSubHeading1">
    <w:name w:val="Numbered Letter Sub Heading 1"/>
    <w:basedOn w:val="LetterSubHeading1Black"/>
    <w:uiPriority w:val="5"/>
    <w:rsid w:val="005876F4"/>
    <w:pPr>
      <w:numPr>
        <w:numId w:val="19"/>
      </w:numPr>
    </w:pPr>
  </w:style>
  <w:style w:type="paragraph" w:customStyle="1" w:styleId="NumberedLetterBodyText">
    <w:name w:val="Numbered Letter Body Text"/>
    <w:basedOn w:val="Corpotesto"/>
    <w:uiPriority w:val="6"/>
    <w:rsid w:val="005876F4"/>
    <w:pPr>
      <w:numPr>
        <w:ilvl w:val="1"/>
        <w:numId w:val="19"/>
      </w:numPr>
    </w:pPr>
  </w:style>
  <w:style w:type="paragraph" w:customStyle="1" w:styleId="NumberedBodyText">
    <w:name w:val="Numbered Body Text"/>
    <w:basedOn w:val="Corpotesto"/>
    <w:uiPriority w:val="4"/>
    <w:qFormat/>
    <w:rsid w:val="005876F4"/>
    <w:pPr>
      <w:numPr>
        <w:ilvl w:val="2"/>
        <w:numId w:val="18"/>
      </w:numPr>
    </w:pPr>
  </w:style>
  <w:style w:type="paragraph" w:customStyle="1" w:styleId="Heading2Black">
    <w:name w:val="Heading 2 Black"/>
    <w:basedOn w:val="Titolo2"/>
    <w:next w:val="Corpotesto"/>
    <w:uiPriority w:val="1"/>
    <w:qFormat/>
    <w:rsid w:val="005876F4"/>
    <w:rPr>
      <w:color w:val="000000" w:themeColor="text1"/>
    </w:rPr>
  </w:style>
  <w:style w:type="paragraph" w:customStyle="1" w:styleId="Heading3Black">
    <w:name w:val="Heading 3 Black"/>
    <w:basedOn w:val="Titolo3"/>
    <w:next w:val="Corpotesto"/>
    <w:uiPriority w:val="1"/>
    <w:qFormat/>
    <w:rsid w:val="005876F4"/>
    <w:rPr>
      <w:color w:val="000000" w:themeColor="text1"/>
    </w:rPr>
  </w:style>
  <w:style w:type="paragraph" w:customStyle="1" w:styleId="Heading4Black">
    <w:name w:val="Heading 4 Black"/>
    <w:basedOn w:val="Titolo4"/>
    <w:next w:val="Corpotesto"/>
    <w:uiPriority w:val="1"/>
    <w:qFormat/>
    <w:rsid w:val="005876F4"/>
    <w:rPr>
      <w:color w:val="auto"/>
    </w:rPr>
  </w:style>
  <w:style w:type="paragraph" w:customStyle="1" w:styleId="SectionTitleLandscape">
    <w:name w:val="Section Title Landscape"/>
    <w:basedOn w:val="Normale"/>
    <w:next w:val="Corpotesto"/>
    <w:uiPriority w:val="10"/>
    <w:rsid w:val="005876F4"/>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customStyle="1" w:styleId="AppendixTitleLandscape">
    <w:name w:val="Appendix Title Landscape"/>
    <w:basedOn w:val="Normale"/>
    <w:next w:val="Corpotesto"/>
    <w:uiPriority w:val="11"/>
    <w:rsid w:val="005876F4"/>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customStyle="1" w:styleId="TableHeadingRight">
    <w:name w:val="Table Heading Right"/>
    <w:basedOn w:val="TableHeading"/>
    <w:uiPriority w:val="14"/>
    <w:qFormat/>
    <w:rsid w:val="005876F4"/>
    <w:pPr>
      <w:jc w:val="right"/>
    </w:pPr>
  </w:style>
  <w:style w:type="paragraph" w:customStyle="1" w:styleId="TableTextDecimal">
    <w:name w:val="Table Text Decimal"/>
    <w:basedOn w:val="TableText"/>
    <w:uiPriority w:val="14"/>
    <w:qFormat/>
    <w:rsid w:val="005876F4"/>
    <w:pPr>
      <w:tabs>
        <w:tab w:val="decimal" w:pos="1304"/>
      </w:tabs>
    </w:pPr>
  </w:style>
  <w:style w:type="paragraph" w:customStyle="1" w:styleId="TableTextRight">
    <w:name w:val="Table Text Right"/>
    <w:basedOn w:val="TableText"/>
    <w:uiPriority w:val="14"/>
    <w:qFormat/>
    <w:rsid w:val="005876F4"/>
    <w:pPr>
      <w:jc w:val="right"/>
    </w:pPr>
  </w:style>
  <w:style w:type="character" w:customStyle="1" w:styleId="Hashtag2">
    <w:name w:val="Hashtag2"/>
    <w:basedOn w:val="Carpredefinitoparagrafo"/>
    <w:uiPriority w:val="99"/>
    <w:semiHidden/>
    <w:unhideWhenUsed/>
    <w:rsid w:val="005876F4"/>
    <w:rPr>
      <w:color w:val="2B579A"/>
      <w:shd w:val="clear" w:color="auto" w:fill="E6E6E6"/>
    </w:rPr>
  </w:style>
  <w:style w:type="character" w:customStyle="1" w:styleId="Mention2">
    <w:name w:val="Mention2"/>
    <w:basedOn w:val="Carpredefinitoparagrafo"/>
    <w:uiPriority w:val="99"/>
    <w:semiHidden/>
    <w:unhideWhenUsed/>
    <w:rsid w:val="005876F4"/>
    <w:rPr>
      <w:color w:val="2B579A"/>
      <w:shd w:val="clear" w:color="auto" w:fill="E6E6E6"/>
    </w:rPr>
  </w:style>
  <w:style w:type="character" w:customStyle="1" w:styleId="SmartHyperlink2">
    <w:name w:val="Smart Hyperlink2"/>
    <w:basedOn w:val="Carpredefinitoparagrafo"/>
    <w:uiPriority w:val="99"/>
    <w:semiHidden/>
    <w:unhideWhenUsed/>
    <w:rsid w:val="005876F4"/>
    <w:rPr>
      <w:u w:val="dotted"/>
    </w:rPr>
  </w:style>
  <w:style w:type="character" w:customStyle="1" w:styleId="UnresolvedMention1">
    <w:name w:val="Unresolved Mention1"/>
    <w:basedOn w:val="Carpredefinitoparagrafo"/>
    <w:uiPriority w:val="99"/>
    <w:semiHidden/>
    <w:unhideWhenUsed/>
    <w:rsid w:val="005876F4"/>
    <w:rPr>
      <w:color w:val="808080"/>
      <w:shd w:val="clear" w:color="auto" w:fill="E6E6E6"/>
    </w:rPr>
  </w:style>
  <w:style w:type="paragraph" w:customStyle="1" w:styleId="Notesandsources">
    <w:name w:val="Notes and sources"/>
    <w:basedOn w:val="Corpotesto"/>
    <w:rsid w:val="005876F4"/>
    <w:pPr>
      <w:tabs>
        <w:tab w:val="left" w:pos="567"/>
      </w:tabs>
      <w:spacing w:before="60" w:after="60" w:line="240" w:lineRule="auto"/>
      <w:ind w:left="754" w:hanging="754"/>
    </w:pPr>
    <w:rPr>
      <w:sz w:val="12"/>
      <w:szCs w:val="12"/>
    </w:rPr>
  </w:style>
  <w:style w:type="numbering" w:styleId="111111">
    <w:name w:val="Outline List 2"/>
    <w:basedOn w:val="Nessunelenco"/>
    <w:semiHidden/>
    <w:unhideWhenUsed/>
    <w:rsid w:val="002B0416"/>
    <w:pPr>
      <w:numPr>
        <w:numId w:val="9"/>
      </w:numPr>
    </w:pPr>
  </w:style>
  <w:style w:type="numbering" w:styleId="1ai">
    <w:name w:val="Outline List 1"/>
    <w:basedOn w:val="Nessunelenco"/>
    <w:semiHidden/>
    <w:unhideWhenUsed/>
    <w:rsid w:val="002B0416"/>
    <w:pPr>
      <w:numPr>
        <w:numId w:val="10"/>
      </w:numPr>
    </w:pPr>
  </w:style>
  <w:style w:type="table" w:styleId="Grigliaacolori">
    <w:name w:val="Colorful Grid"/>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Grigliaacolori-Colore2">
    <w:name w:val="Colorful Grid Accent 2"/>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BCF9FF" w:themeFill="accent2" w:themeFillTint="33"/>
    </w:tcPr>
    <w:tblStylePr w:type="firstRow">
      <w:rPr>
        <w:b/>
        <w:bCs/>
      </w:rPr>
      <w:tblPr/>
      <w:tcPr>
        <w:shd w:val="clear" w:color="auto" w:fill="7AF3FF" w:themeFill="accent2" w:themeFillTint="66"/>
      </w:tcPr>
    </w:tblStylePr>
    <w:tblStylePr w:type="lastRow">
      <w:rPr>
        <w:b/>
        <w:bCs/>
        <w:color w:val="000000" w:themeColor="text1"/>
      </w:rPr>
      <w:tblPr/>
      <w:tcPr>
        <w:shd w:val="clear" w:color="auto" w:fill="7AF3FF" w:themeFill="accent2" w:themeFillTint="66"/>
      </w:tcPr>
    </w:tblStylePr>
    <w:tblStylePr w:type="firstCol">
      <w:rPr>
        <w:color w:val="FFFFFF" w:themeColor="background1"/>
      </w:rPr>
      <w:tblPr/>
      <w:tcPr>
        <w:shd w:val="clear" w:color="auto" w:fill="007A86" w:themeFill="accent2" w:themeFillShade="BF"/>
      </w:tcPr>
    </w:tblStylePr>
    <w:tblStylePr w:type="lastCol">
      <w:rPr>
        <w:color w:val="FFFFFF" w:themeColor="background1"/>
      </w:rPr>
      <w:tblPr/>
      <w:tcPr>
        <w:shd w:val="clear" w:color="auto" w:fill="007A86" w:themeFill="accent2" w:themeFillShade="BF"/>
      </w:tcPr>
    </w:tblStylePr>
    <w:tblStylePr w:type="band1Vert">
      <w:tblPr/>
      <w:tcPr>
        <w:shd w:val="clear" w:color="auto" w:fill="5AF0FF" w:themeFill="accent2" w:themeFillTint="7F"/>
      </w:tcPr>
    </w:tblStylePr>
    <w:tblStylePr w:type="band1Horz">
      <w:tblPr/>
      <w:tcPr>
        <w:shd w:val="clear" w:color="auto" w:fill="5AF0FF" w:themeFill="accent2" w:themeFillTint="7F"/>
      </w:tcPr>
    </w:tblStylePr>
  </w:style>
  <w:style w:type="table" w:styleId="Grigliaacolori-Colore3">
    <w:name w:val="Colorful Grid Accent 3"/>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FFDBDA" w:themeFill="accent3" w:themeFillTint="33"/>
    </w:tcPr>
    <w:tblStylePr w:type="firstRow">
      <w:rPr>
        <w:b/>
        <w:bCs/>
      </w:rPr>
      <w:tblPr/>
      <w:tcPr>
        <w:shd w:val="clear" w:color="auto" w:fill="FFB9B6" w:themeFill="accent3" w:themeFillTint="66"/>
      </w:tcPr>
    </w:tblStylePr>
    <w:tblStylePr w:type="lastRow">
      <w:rPr>
        <w:b/>
        <w:bCs/>
        <w:color w:val="000000" w:themeColor="text1"/>
      </w:rPr>
      <w:tblPr/>
      <w:tcPr>
        <w:shd w:val="clear" w:color="auto" w:fill="FFB9B6" w:themeFill="accent3" w:themeFillTint="66"/>
      </w:tcPr>
    </w:tblStylePr>
    <w:tblStylePr w:type="firstCol">
      <w:rPr>
        <w:color w:val="FFFFFF" w:themeColor="background1"/>
      </w:rPr>
      <w:tblPr/>
      <w:tcPr>
        <w:shd w:val="clear" w:color="auto" w:fill="F50A00" w:themeFill="accent3" w:themeFillShade="BF"/>
      </w:tcPr>
    </w:tblStylePr>
    <w:tblStylePr w:type="lastCol">
      <w:rPr>
        <w:color w:val="FFFFFF" w:themeColor="background1"/>
      </w:rPr>
      <w:tblPr/>
      <w:tcPr>
        <w:shd w:val="clear" w:color="auto" w:fill="F50A00" w:themeFill="accent3" w:themeFillShade="BF"/>
      </w:tcPr>
    </w:tblStylePr>
    <w:tblStylePr w:type="band1Vert">
      <w:tblPr/>
      <w:tcPr>
        <w:shd w:val="clear" w:color="auto" w:fill="FFA8A4" w:themeFill="accent3" w:themeFillTint="7F"/>
      </w:tcPr>
    </w:tblStylePr>
    <w:tblStylePr w:type="band1Horz">
      <w:tblPr/>
      <w:tcPr>
        <w:shd w:val="clear" w:color="auto" w:fill="FFA8A4" w:themeFill="accent3" w:themeFillTint="7F"/>
      </w:tcPr>
    </w:tblStylePr>
  </w:style>
  <w:style w:type="table" w:styleId="Grigliaacolori-Colore4">
    <w:name w:val="Colorful Grid Accent 4"/>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FFF2D8" w:themeFill="accent4" w:themeFillTint="33"/>
    </w:tcPr>
    <w:tblStylePr w:type="firstRow">
      <w:rPr>
        <w:b/>
        <w:bCs/>
      </w:rPr>
      <w:tblPr/>
      <w:tcPr>
        <w:shd w:val="clear" w:color="auto" w:fill="FFE6B1" w:themeFill="accent4" w:themeFillTint="66"/>
      </w:tcPr>
    </w:tblStylePr>
    <w:tblStylePr w:type="lastRow">
      <w:rPr>
        <w:b/>
        <w:bCs/>
        <w:color w:val="000000" w:themeColor="text1"/>
      </w:rPr>
      <w:tblPr/>
      <w:tcPr>
        <w:shd w:val="clear" w:color="auto" w:fill="FFE6B1" w:themeFill="accent4" w:themeFillTint="66"/>
      </w:tcPr>
    </w:tblStylePr>
    <w:tblStylePr w:type="firstCol">
      <w:rPr>
        <w:color w:val="FFFFFF" w:themeColor="background1"/>
      </w:rPr>
      <w:tblPr/>
      <w:tcPr>
        <w:shd w:val="clear" w:color="auto" w:fill="ECA100" w:themeFill="accent4" w:themeFillShade="BF"/>
      </w:tcPr>
    </w:tblStylePr>
    <w:tblStylePr w:type="lastCol">
      <w:rPr>
        <w:color w:val="FFFFFF" w:themeColor="background1"/>
      </w:rPr>
      <w:tblPr/>
      <w:tcPr>
        <w:shd w:val="clear" w:color="auto" w:fill="ECA100" w:themeFill="accent4" w:themeFillShade="BF"/>
      </w:tcPr>
    </w:tblStylePr>
    <w:tblStylePr w:type="band1Vert">
      <w:tblPr/>
      <w:tcPr>
        <w:shd w:val="clear" w:color="auto" w:fill="FFE09E" w:themeFill="accent4" w:themeFillTint="7F"/>
      </w:tcPr>
    </w:tblStylePr>
    <w:tblStylePr w:type="band1Horz">
      <w:tblPr/>
      <w:tcPr>
        <w:shd w:val="clear" w:color="auto" w:fill="FFE09E" w:themeFill="accent4" w:themeFillTint="7F"/>
      </w:tcPr>
    </w:tblStylePr>
  </w:style>
  <w:style w:type="table" w:styleId="Grigliaacolori-Colore5">
    <w:name w:val="Colorful Grid Accent 5"/>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EBE1FF" w:themeFill="accent5" w:themeFillTint="33"/>
    </w:tcPr>
    <w:tblStylePr w:type="firstRow">
      <w:rPr>
        <w:b/>
        <w:bCs/>
      </w:rPr>
      <w:tblPr/>
      <w:tcPr>
        <w:shd w:val="clear" w:color="auto" w:fill="D8C4FF" w:themeFill="accent5" w:themeFillTint="66"/>
      </w:tcPr>
    </w:tblStylePr>
    <w:tblStylePr w:type="lastRow">
      <w:rPr>
        <w:b/>
        <w:bCs/>
        <w:color w:val="000000" w:themeColor="text1"/>
      </w:rPr>
      <w:tblPr/>
      <w:tcPr>
        <w:shd w:val="clear" w:color="auto" w:fill="D8C4FF" w:themeFill="accent5" w:themeFillTint="66"/>
      </w:tcPr>
    </w:tblStylePr>
    <w:tblStylePr w:type="firstCol">
      <w:rPr>
        <w:color w:val="FFFFFF" w:themeColor="background1"/>
      </w:rPr>
      <w:tblPr/>
      <w:tcPr>
        <w:shd w:val="clear" w:color="auto" w:fill="6411FF" w:themeFill="accent5" w:themeFillShade="BF"/>
      </w:tcPr>
    </w:tblStylePr>
    <w:tblStylePr w:type="lastCol">
      <w:rPr>
        <w:color w:val="FFFFFF" w:themeColor="background1"/>
      </w:rPr>
      <w:tblPr/>
      <w:tcPr>
        <w:shd w:val="clear" w:color="auto" w:fill="6411FF" w:themeFill="accent5" w:themeFillShade="BF"/>
      </w:tcPr>
    </w:tblStylePr>
    <w:tblStylePr w:type="band1Vert">
      <w:tblPr/>
      <w:tcPr>
        <w:shd w:val="clear" w:color="auto" w:fill="CFB6FF" w:themeFill="accent5" w:themeFillTint="7F"/>
      </w:tcPr>
    </w:tblStylePr>
    <w:tblStylePr w:type="band1Horz">
      <w:tblPr/>
      <w:tcPr>
        <w:shd w:val="clear" w:color="auto" w:fill="CFB6FF" w:themeFill="accent5" w:themeFillTint="7F"/>
      </w:tcPr>
    </w:tblStylePr>
  </w:style>
  <w:style w:type="table" w:styleId="Grigliaacolori-Colore6">
    <w:name w:val="Colorful Grid Accent 6"/>
    <w:basedOn w:val="Tabellanormale"/>
    <w:uiPriority w:val="73"/>
    <w:semiHidden/>
    <w:unhideWhenUsed/>
    <w:rsid w:val="002B0416"/>
    <w:rPr>
      <w:color w:val="000000" w:themeColor="text1"/>
    </w:rPr>
    <w:tblPr>
      <w:tblStyleRowBandSize w:val="1"/>
      <w:tblStyleColBandSize w:val="1"/>
      <w:tblBorders>
        <w:insideH w:val="single" w:sz="4" w:space="0" w:color="FFFFFF" w:themeColor="background1"/>
      </w:tblBorders>
    </w:tblPr>
    <w:tcPr>
      <w:shd w:val="clear" w:color="auto" w:fill="D1BDED" w:themeFill="accent6" w:themeFillTint="33"/>
    </w:tcPr>
    <w:tblStylePr w:type="firstRow">
      <w:rPr>
        <w:b/>
        <w:bCs/>
      </w:rPr>
      <w:tblPr/>
      <w:tcPr>
        <w:shd w:val="clear" w:color="auto" w:fill="A37BDC" w:themeFill="accent6" w:themeFillTint="66"/>
      </w:tcPr>
    </w:tblStylePr>
    <w:tblStylePr w:type="lastRow">
      <w:rPr>
        <w:b/>
        <w:bCs/>
        <w:color w:val="000000" w:themeColor="text1"/>
      </w:rPr>
      <w:tblPr/>
      <w:tcPr>
        <w:shd w:val="clear" w:color="auto" w:fill="A37BDC" w:themeFill="accent6" w:themeFillTint="66"/>
      </w:tcPr>
    </w:tblStylePr>
    <w:tblStylePr w:type="firstCol">
      <w:rPr>
        <w:color w:val="FFFFFF" w:themeColor="background1"/>
      </w:rPr>
      <w:tblPr/>
      <w:tcPr>
        <w:shd w:val="clear" w:color="auto" w:fill="1F0F38" w:themeFill="accent6" w:themeFillShade="BF"/>
      </w:tcPr>
    </w:tblStylePr>
    <w:tblStylePr w:type="lastCol">
      <w:rPr>
        <w:color w:val="FFFFFF" w:themeColor="background1"/>
      </w:rPr>
      <w:tblPr/>
      <w:tcPr>
        <w:shd w:val="clear" w:color="auto" w:fill="1F0F38" w:themeFill="accent6" w:themeFillShade="BF"/>
      </w:tcPr>
    </w:tblStylePr>
    <w:tblStylePr w:type="band1Vert">
      <w:tblPr/>
      <w:tcPr>
        <w:shd w:val="clear" w:color="auto" w:fill="8C5BD4" w:themeFill="accent6" w:themeFillTint="7F"/>
      </w:tcPr>
    </w:tblStylePr>
    <w:tblStylePr w:type="band1Horz">
      <w:tblPr/>
      <w:tcPr>
        <w:shd w:val="clear" w:color="auto" w:fill="8C5BD4" w:themeFill="accent6" w:themeFillTint="7F"/>
      </w:tcPr>
    </w:tblStylePr>
  </w:style>
  <w:style w:type="table" w:styleId="Elencoacolori">
    <w:name w:val="Colorful List"/>
    <w:basedOn w:val="Tabellanormale"/>
    <w:uiPriority w:val="72"/>
    <w:semiHidden/>
    <w:unhideWhenUsed/>
    <w:rsid w:val="002B041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28F" w:themeFill="accent2" w:themeFillShade="CC"/>
      </w:tcPr>
    </w:tblStylePr>
    <w:tblStylePr w:type="lastRow">
      <w:rPr>
        <w:b/>
        <w:bCs/>
        <w:color w:val="00828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semiHidden/>
    <w:unhideWhenUsed/>
    <w:rsid w:val="002B0416"/>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00828F" w:themeFill="accent2" w:themeFillShade="CC"/>
      </w:tcPr>
    </w:tblStylePr>
    <w:tblStylePr w:type="lastRow">
      <w:rPr>
        <w:b/>
        <w:bCs/>
        <w:color w:val="00828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Elencoacolori-Colore2">
    <w:name w:val="Colorful List Accent 2"/>
    <w:basedOn w:val="Tabellanormale"/>
    <w:uiPriority w:val="72"/>
    <w:semiHidden/>
    <w:unhideWhenUsed/>
    <w:rsid w:val="002B0416"/>
    <w:rPr>
      <w:color w:val="000000" w:themeColor="text1"/>
    </w:rPr>
    <w:tblPr>
      <w:tblStyleRowBandSize w:val="1"/>
      <w:tblStyleColBandSize w:val="1"/>
    </w:tblPr>
    <w:tcPr>
      <w:shd w:val="clear" w:color="auto" w:fill="DEFCFF" w:themeFill="accent2" w:themeFillTint="19"/>
    </w:tcPr>
    <w:tblStylePr w:type="firstRow">
      <w:rPr>
        <w:b/>
        <w:bCs/>
        <w:color w:val="FFFFFF" w:themeColor="background1"/>
      </w:rPr>
      <w:tblPr/>
      <w:tcPr>
        <w:tcBorders>
          <w:bottom w:val="single" w:sz="12" w:space="0" w:color="FFFFFF" w:themeColor="background1"/>
        </w:tcBorders>
        <w:shd w:val="clear" w:color="auto" w:fill="00828F" w:themeFill="accent2" w:themeFillShade="CC"/>
      </w:tcPr>
    </w:tblStylePr>
    <w:tblStylePr w:type="lastRow">
      <w:rPr>
        <w:b/>
        <w:bCs/>
        <w:color w:val="00828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7FF" w:themeFill="accent2" w:themeFillTint="3F"/>
      </w:tcPr>
    </w:tblStylePr>
    <w:tblStylePr w:type="band1Horz">
      <w:tblPr/>
      <w:tcPr>
        <w:shd w:val="clear" w:color="auto" w:fill="BCF9FF" w:themeFill="accent2" w:themeFillTint="33"/>
      </w:tcPr>
    </w:tblStylePr>
  </w:style>
  <w:style w:type="table" w:styleId="Elencoacolori-Colore3">
    <w:name w:val="Colorful List Accent 3"/>
    <w:basedOn w:val="Tabellanormale"/>
    <w:uiPriority w:val="72"/>
    <w:semiHidden/>
    <w:unhideWhenUsed/>
    <w:rsid w:val="002B0416"/>
    <w:rPr>
      <w:color w:val="000000" w:themeColor="text1"/>
    </w:rPr>
    <w:tblPr>
      <w:tblStyleRowBandSize w:val="1"/>
      <w:tblStyleColBandSize w:val="1"/>
    </w:tblPr>
    <w:tcPr>
      <w:shd w:val="clear" w:color="auto" w:fill="FFEDED" w:themeFill="accent3" w:themeFillTint="19"/>
    </w:tcPr>
    <w:tblStylePr w:type="firstRow">
      <w:rPr>
        <w:b/>
        <w:bCs/>
        <w:color w:val="FFFFFF" w:themeColor="background1"/>
      </w:rPr>
      <w:tblPr/>
      <w:tcPr>
        <w:tcBorders>
          <w:bottom w:val="single" w:sz="12" w:space="0" w:color="FFFFFF" w:themeColor="background1"/>
        </w:tcBorders>
        <w:shd w:val="clear" w:color="auto" w:fill="FCAC00" w:themeFill="accent4" w:themeFillShade="CC"/>
      </w:tcPr>
    </w:tblStylePr>
    <w:tblStylePr w:type="lastRow">
      <w:rPr>
        <w:b/>
        <w:bCs/>
        <w:color w:val="FCAC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3D2" w:themeFill="accent3" w:themeFillTint="3F"/>
      </w:tcPr>
    </w:tblStylePr>
    <w:tblStylePr w:type="band1Horz">
      <w:tblPr/>
      <w:tcPr>
        <w:shd w:val="clear" w:color="auto" w:fill="FFDBDA" w:themeFill="accent3" w:themeFillTint="33"/>
      </w:tcPr>
    </w:tblStylePr>
  </w:style>
  <w:style w:type="table" w:styleId="Elencoacolori-Colore4">
    <w:name w:val="Colorful List Accent 4"/>
    <w:basedOn w:val="Tabellanormale"/>
    <w:uiPriority w:val="72"/>
    <w:semiHidden/>
    <w:unhideWhenUsed/>
    <w:rsid w:val="002B0416"/>
    <w:rPr>
      <w:color w:val="000000" w:themeColor="text1"/>
    </w:rPr>
    <w:tblPr>
      <w:tblStyleRowBandSize w:val="1"/>
      <w:tblStyleColBandSize w:val="1"/>
    </w:tblPr>
    <w:tcPr>
      <w:shd w:val="clear" w:color="auto" w:fill="FFF8EB" w:themeFill="accent4" w:themeFillTint="19"/>
    </w:tcPr>
    <w:tblStylePr w:type="firstRow">
      <w:rPr>
        <w:b/>
        <w:bCs/>
        <w:color w:val="FFFFFF" w:themeColor="background1"/>
      </w:rPr>
      <w:tblPr/>
      <w:tcPr>
        <w:tcBorders>
          <w:bottom w:val="single" w:sz="12" w:space="0" w:color="FFFFFF" w:themeColor="background1"/>
        </w:tcBorders>
        <w:shd w:val="clear" w:color="auto" w:fill="FF1207" w:themeFill="accent3" w:themeFillShade="CC"/>
      </w:tcPr>
    </w:tblStylePr>
    <w:tblStylePr w:type="lastRow">
      <w:rPr>
        <w:b/>
        <w:bCs/>
        <w:color w:val="FF120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F" w:themeFill="accent4" w:themeFillTint="3F"/>
      </w:tcPr>
    </w:tblStylePr>
    <w:tblStylePr w:type="band1Horz">
      <w:tblPr/>
      <w:tcPr>
        <w:shd w:val="clear" w:color="auto" w:fill="FFF2D8" w:themeFill="accent4" w:themeFillTint="33"/>
      </w:tcPr>
    </w:tblStylePr>
  </w:style>
  <w:style w:type="table" w:styleId="Elencoacolori-Colore5">
    <w:name w:val="Colorful List Accent 5"/>
    <w:basedOn w:val="Tabellanormale"/>
    <w:uiPriority w:val="72"/>
    <w:semiHidden/>
    <w:unhideWhenUsed/>
    <w:rsid w:val="002B0416"/>
    <w:rPr>
      <w:color w:val="000000" w:themeColor="text1"/>
    </w:rPr>
    <w:tblPr>
      <w:tblStyleRowBandSize w:val="1"/>
      <w:tblStyleColBandSize w:val="1"/>
    </w:tblPr>
    <w:tcPr>
      <w:shd w:val="clear" w:color="auto" w:fill="F5F0FF" w:themeFill="accent5" w:themeFillTint="19"/>
    </w:tcPr>
    <w:tblStylePr w:type="firstRow">
      <w:rPr>
        <w:b/>
        <w:bCs/>
        <w:color w:val="FFFFFF" w:themeColor="background1"/>
      </w:rPr>
      <w:tblPr/>
      <w:tcPr>
        <w:tcBorders>
          <w:bottom w:val="single" w:sz="12" w:space="0" w:color="FFFFFF" w:themeColor="background1"/>
        </w:tcBorders>
        <w:shd w:val="clear" w:color="auto" w:fill="22103C" w:themeFill="accent6" w:themeFillShade="CC"/>
      </w:tcPr>
    </w:tblStylePr>
    <w:tblStylePr w:type="lastRow">
      <w:rPr>
        <w:b/>
        <w:bCs/>
        <w:color w:val="22103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DAFF" w:themeFill="accent5" w:themeFillTint="3F"/>
      </w:tcPr>
    </w:tblStylePr>
    <w:tblStylePr w:type="band1Horz">
      <w:tblPr/>
      <w:tcPr>
        <w:shd w:val="clear" w:color="auto" w:fill="EBE1FF" w:themeFill="accent5" w:themeFillTint="33"/>
      </w:tcPr>
    </w:tblStylePr>
  </w:style>
  <w:style w:type="table" w:styleId="Elencoacolori-Colore6">
    <w:name w:val="Colorful List Accent 6"/>
    <w:basedOn w:val="Tabellanormale"/>
    <w:uiPriority w:val="72"/>
    <w:semiHidden/>
    <w:unhideWhenUsed/>
    <w:rsid w:val="002B0416"/>
    <w:rPr>
      <w:color w:val="000000" w:themeColor="text1"/>
    </w:rPr>
    <w:tblPr>
      <w:tblStyleRowBandSize w:val="1"/>
      <w:tblStyleColBandSize w:val="1"/>
    </w:tblPr>
    <w:tcPr>
      <w:shd w:val="clear" w:color="auto" w:fill="E8DEF6" w:themeFill="accent6" w:themeFillTint="19"/>
    </w:tcPr>
    <w:tblStylePr w:type="firstRow">
      <w:rPr>
        <w:b/>
        <w:bCs/>
        <w:color w:val="FFFFFF" w:themeColor="background1"/>
      </w:rPr>
      <w:tblPr/>
      <w:tcPr>
        <w:tcBorders>
          <w:bottom w:val="single" w:sz="12" w:space="0" w:color="FFFFFF" w:themeColor="background1"/>
        </w:tcBorders>
        <w:shd w:val="clear" w:color="auto" w:fill="7024FF" w:themeFill="accent5" w:themeFillShade="CC"/>
      </w:tcPr>
    </w:tblStylePr>
    <w:tblStylePr w:type="lastRow">
      <w:rPr>
        <w:b/>
        <w:bCs/>
        <w:color w:val="7024F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6AEE9" w:themeFill="accent6" w:themeFillTint="3F"/>
      </w:tcPr>
    </w:tblStylePr>
    <w:tblStylePr w:type="band1Horz">
      <w:tblPr/>
      <w:tcPr>
        <w:shd w:val="clear" w:color="auto" w:fill="D1BDED" w:themeFill="accent6" w:themeFillTint="33"/>
      </w:tcPr>
    </w:tblStylePr>
  </w:style>
  <w:style w:type="table" w:styleId="Sfondoacolori">
    <w:name w:val="Colorful Shading"/>
    <w:basedOn w:val="Tabellanormale"/>
    <w:uiPriority w:val="71"/>
    <w:semiHidden/>
    <w:unhideWhenUsed/>
    <w:rsid w:val="002B0416"/>
    <w:rPr>
      <w:color w:val="000000" w:themeColor="text1"/>
    </w:rPr>
    <w:tblPr>
      <w:tblStyleRowBandSize w:val="1"/>
      <w:tblStyleColBandSize w:val="1"/>
      <w:tblBorders>
        <w:top w:val="single" w:sz="24" w:space="0" w:color="00A4B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A4B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semiHidden/>
    <w:unhideWhenUsed/>
    <w:rsid w:val="002B0416"/>
    <w:rPr>
      <w:color w:val="000000" w:themeColor="text1"/>
    </w:rPr>
    <w:tblPr>
      <w:tblStyleRowBandSize w:val="1"/>
      <w:tblStyleColBandSize w:val="1"/>
      <w:tblBorders>
        <w:top w:val="single" w:sz="24" w:space="0" w:color="00A4B3"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00A4B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semiHidden/>
    <w:unhideWhenUsed/>
    <w:rsid w:val="002B0416"/>
    <w:rPr>
      <w:color w:val="000000" w:themeColor="text1"/>
    </w:rPr>
    <w:tblPr>
      <w:tblStyleRowBandSize w:val="1"/>
      <w:tblStyleColBandSize w:val="1"/>
      <w:tblBorders>
        <w:top w:val="single" w:sz="24" w:space="0" w:color="00A4B3" w:themeColor="accent2"/>
        <w:left w:val="single" w:sz="4" w:space="0" w:color="00A4B3" w:themeColor="accent2"/>
        <w:bottom w:val="single" w:sz="4" w:space="0" w:color="00A4B3" w:themeColor="accent2"/>
        <w:right w:val="single" w:sz="4" w:space="0" w:color="00A4B3" w:themeColor="accent2"/>
        <w:insideH w:val="single" w:sz="4" w:space="0" w:color="FFFFFF" w:themeColor="background1"/>
        <w:insideV w:val="single" w:sz="4" w:space="0" w:color="FFFFFF" w:themeColor="background1"/>
      </w:tblBorders>
    </w:tblPr>
    <w:tcPr>
      <w:shd w:val="clear" w:color="auto" w:fill="DEFCFF" w:themeFill="accent2" w:themeFillTint="19"/>
    </w:tcPr>
    <w:tblStylePr w:type="firstRow">
      <w:rPr>
        <w:b/>
        <w:bCs/>
      </w:rPr>
      <w:tblPr/>
      <w:tcPr>
        <w:tcBorders>
          <w:top w:val="nil"/>
          <w:left w:val="nil"/>
          <w:bottom w:val="single" w:sz="24" w:space="0" w:color="00A4B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26B" w:themeFill="accent2" w:themeFillShade="99"/>
      </w:tcPr>
    </w:tblStylePr>
    <w:tblStylePr w:type="firstCol">
      <w:rPr>
        <w:color w:val="FFFFFF" w:themeColor="background1"/>
      </w:rPr>
      <w:tblPr/>
      <w:tcPr>
        <w:tcBorders>
          <w:top w:val="nil"/>
          <w:left w:val="nil"/>
          <w:bottom w:val="nil"/>
          <w:right w:val="nil"/>
          <w:insideH w:val="single" w:sz="4" w:space="0" w:color="00626B" w:themeColor="accent2" w:themeShade="99"/>
          <w:insideV w:val="nil"/>
        </w:tcBorders>
        <w:shd w:val="clear" w:color="auto" w:fill="00626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26B" w:themeFill="accent2" w:themeFillShade="99"/>
      </w:tcPr>
    </w:tblStylePr>
    <w:tblStylePr w:type="band1Vert">
      <w:tblPr/>
      <w:tcPr>
        <w:shd w:val="clear" w:color="auto" w:fill="7AF3FF" w:themeFill="accent2" w:themeFillTint="66"/>
      </w:tcPr>
    </w:tblStylePr>
    <w:tblStylePr w:type="band1Horz">
      <w:tblPr/>
      <w:tcPr>
        <w:shd w:val="clear" w:color="auto" w:fill="5AF0FF"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semiHidden/>
    <w:unhideWhenUsed/>
    <w:rsid w:val="002B0416"/>
    <w:rPr>
      <w:color w:val="000000" w:themeColor="text1"/>
    </w:rPr>
    <w:tblPr>
      <w:tblStyleRowBandSize w:val="1"/>
      <w:tblStyleColBandSize w:val="1"/>
      <w:tblBorders>
        <w:top w:val="single" w:sz="24" w:space="0" w:color="FFC23D" w:themeColor="accent4"/>
        <w:left w:val="single" w:sz="4" w:space="0" w:color="FF5149" w:themeColor="accent3"/>
        <w:bottom w:val="single" w:sz="4" w:space="0" w:color="FF5149" w:themeColor="accent3"/>
        <w:right w:val="single" w:sz="4" w:space="0" w:color="FF5149" w:themeColor="accent3"/>
        <w:insideH w:val="single" w:sz="4" w:space="0" w:color="FFFFFF" w:themeColor="background1"/>
        <w:insideV w:val="single" w:sz="4" w:space="0" w:color="FFFFFF" w:themeColor="background1"/>
      </w:tblBorders>
    </w:tblPr>
    <w:tcPr>
      <w:shd w:val="clear" w:color="auto" w:fill="FFEDED" w:themeFill="accent3" w:themeFillTint="19"/>
    </w:tcPr>
    <w:tblStylePr w:type="firstRow">
      <w:rPr>
        <w:b/>
        <w:bCs/>
      </w:rPr>
      <w:tblPr/>
      <w:tcPr>
        <w:tcBorders>
          <w:top w:val="nil"/>
          <w:left w:val="nil"/>
          <w:bottom w:val="single" w:sz="24" w:space="0" w:color="FFC23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0800" w:themeFill="accent3" w:themeFillShade="99"/>
      </w:tcPr>
    </w:tblStylePr>
    <w:tblStylePr w:type="firstCol">
      <w:rPr>
        <w:color w:val="FFFFFF" w:themeColor="background1"/>
      </w:rPr>
      <w:tblPr/>
      <w:tcPr>
        <w:tcBorders>
          <w:top w:val="nil"/>
          <w:left w:val="nil"/>
          <w:bottom w:val="nil"/>
          <w:right w:val="nil"/>
          <w:insideH w:val="single" w:sz="4" w:space="0" w:color="C40800" w:themeColor="accent3" w:themeShade="99"/>
          <w:insideV w:val="nil"/>
        </w:tcBorders>
        <w:shd w:val="clear" w:color="auto" w:fill="C408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C40800" w:themeFill="accent3" w:themeFillShade="99"/>
      </w:tcPr>
    </w:tblStylePr>
    <w:tblStylePr w:type="band1Vert">
      <w:tblPr/>
      <w:tcPr>
        <w:shd w:val="clear" w:color="auto" w:fill="FFB9B6" w:themeFill="accent3" w:themeFillTint="66"/>
      </w:tcPr>
    </w:tblStylePr>
    <w:tblStylePr w:type="band1Horz">
      <w:tblPr/>
      <w:tcPr>
        <w:shd w:val="clear" w:color="auto" w:fill="FFA8A4" w:themeFill="accent3" w:themeFillTint="7F"/>
      </w:tcPr>
    </w:tblStylePr>
  </w:style>
  <w:style w:type="table" w:styleId="Sfondoacolori-Colore4">
    <w:name w:val="Colorful Shading Accent 4"/>
    <w:basedOn w:val="Tabellanormale"/>
    <w:uiPriority w:val="71"/>
    <w:semiHidden/>
    <w:unhideWhenUsed/>
    <w:rsid w:val="002B0416"/>
    <w:rPr>
      <w:color w:val="000000" w:themeColor="text1"/>
    </w:rPr>
    <w:tblPr>
      <w:tblStyleRowBandSize w:val="1"/>
      <w:tblStyleColBandSize w:val="1"/>
      <w:tblBorders>
        <w:top w:val="single" w:sz="24" w:space="0" w:color="FF5149" w:themeColor="accent3"/>
        <w:left w:val="single" w:sz="4" w:space="0" w:color="FFC23D" w:themeColor="accent4"/>
        <w:bottom w:val="single" w:sz="4" w:space="0" w:color="FFC23D" w:themeColor="accent4"/>
        <w:right w:val="single" w:sz="4" w:space="0" w:color="FFC23D" w:themeColor="accent4"/>
        <w:insideH w:val="single" w:sz="4" w:space="0" w:color="FFFFFF" w:themeColor="background1"/>
        <w:insideV w:val="single" w:sz="4" w:space="0" w:color="FFFFFF" w:themeColor="background1"/>
      </w:tblBorders>
    </w:tblPr>
    <w:tcPr>
      <w:shd w:val="clear" w:color="auto" w:fill="FFF8EB" w:themeFill="accent4" w:themeFillTint="19"/>
    </w:tcPr>
    <w:tblStylePr w:type="firstRow">
      <w:rPr>
        <w:b/>
        <w:bCs/>
      </w:rPr>
      <w:tblPr/>
      <w:tcPr>
        <w:tcBorders>
          <w:top w:val="nil"/>
          <w:left w:val="nil"/>
          <w:bottom w:val="single" w:sz="24" w:space="0" w:color="FF514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D8100" w:themeFill="accent4" w:themeFillShade="99"/>
      </w:tcPr>
    </w:tblStylePr>
    <w:tblStylePr w:type="firstCol">
      <w:rPr>
        <w:color w:val="FFFFFF" w:themeColor="background1"/>
      </w:rPr>
      <w:tblPr/>
      <w:tcPr>
        <w:tcBorders>
          <w:top w:val="nil"/>
          <w:left w:val="nil"/>
          <w:bottom w:val="nil"/>
          <w:right w:val="nil"/>
          <w:insideH w:val="single" w:sz="4" w:space="0" w:color="BD8100" w:themeColor="accent4" w:themeShade="99"/>
          <w:insideV w:val="nil"/>
        </w:tcBorders>
        <w:shd w:val="clear" w:color="auto" w:fill="BD81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D8100" w:themeFill="accent4" w:themeFillShade="99"/>
      </w:tcPr>
    </w:tblStylePr>
    <w:tblStylePr w:type="band1Vert">
      <w:tblPr/>
      <w:tcPr>
        <w:shd w:val="clear" w:color="auto" w:fill="FFE6B1" w:themeFill="accent4" w:themeFillTint="66"/>
      </w:tcPr>
    </w:tblStylePr>
    <w:tblStylePr w:type="band1Horz">
      <w:tblPr/>
      <w:tcPr>
        <w:shd w:val="clear" w:color="auto" w:fill="FFE09E"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semiHidden/>
    <w:unhideWhenUsed/>
    <w:rsid w:val="002B0416"/>
    <w:rPr>
      <w:color w:val="000000" w:themeColor="text1"/>
    </w:rPr>
    <w:tblPr>
      <w:tblStyleRowBandSize w:val="1"/>
      <w:tblStyleColBandSize w:val="1"/>
      <w:tblBorders>
        <w:top w:val="single" w:sz="24" w:space="0" w:color="2B144C" w:themeColor="accent6"/>
        <w:left w:val="single" w:sz="4" w:space="0" w:color="A06DFF" w:themeColor="accent5"/>
        <w:bottom w:val="single" w:sz="4" w:space="0" w:color="A06DFF" w:themeColor="accent5"/>
        <w:right w:val="single" w:sz="4" w:space="0" w:color="A06DFF" w:themeColor="accent5"/>
        <w:insideH w:val="single" w:sz="4" w:space="0" w:color="FFFFFF" w:themeColor="background1"/>
        <w:insideV w:val="single" w:sz="4" w:space="0" w:color="FFFFFF" w:themeColor="background1"/>
      </w:tblBorders>
    </w:tblPr>
    <w:tcPr>
      <w:shd w:val="clear" w:color="auto" w:fill="F5F0FF" w:themeFill="accent5" w:themeFillTint="19"/>
    </w:tcPr>
    <w:tblStylePr w:type="firstRow">
      <w:rPr>
        <w:b/>
        <w:bCs/>
      </w:rPr>
      <w:tblPr/>
      <w:tcPr>
        <w:tcBorders>
          <w:top w:val="nil"/>
          <w:left w:val="nil"/>
          <w:bottom w:val="single" w:sz="24" w:space="0" w:color="2B144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00DA" w:themeFill="accent5" w:themeFillShade="99"/>
      </w:tcPr>
    </w:tblStylePr>
    <w:tblStylePr w:type="firstCol">
      <w:rPr>
        <w:color w:val="FFFFFF" w:themeColor="background1"/>
      </w:rPr>
      <w:tblPr/>
      <w:tcPr>
        <w:tcBorders>
          <w:top w:val="nil"/>
          <w:left w:val="nil"/>
          <w:bottom w:val="nil"/>
          <w:right w:val="nil"/>
          <w:insideH w:val="single" w:sz="4" w:space="0" w:color="4C00DA" w:themeColor="accent5" w:themeShade="99"/>
          <w:insideV w:val="nil"/>
        </w:tcBorders>
        <w:shd w:val="clear" w:color="auto" w:fill="4C00D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C00DA" w:themeFill="accent5" w:themeFillShade="99"/>
      </w:tcPr>
    </w:tblStylePr>
    <w:tblStylePr w:type="band1Vert">
      <w:tblPr/>
      <w:tcPr>
        <w:shd w:val="clear" w:color="auto" w:fill="D8C4FF" w:themeFill="accent5" w:themeFillTint="66"/>
      </w:tcPr>
    </w:tblStylePr>
    <w:tblStylePr w:type="band1Horz">
      <w:tblPr/>
      <w:tcPr>
        <w:shd w:val="clear" w:color="auto" w:fill="CFB6FF"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semiHidden/>
    <w:unhideWhenUsed/>
    <w:rsid w:val="002B0416"/>
    <w:rPr>
      <w:color w:val="000000" w:themeColor="text1"/>
    </w:rPr>
    <w:tblPr>
      <w:tblStyleRowBandSize w:val="1"/>
      <w:tblStyleColBandSize w:val="1"/>
      <w:tblBorders>
        <w:top w:val="single" w:sz="24" w:space="0" w:color="A06DFF" w:themeColor="accent5"/>
        <w:left w:val="single" w:sz="4" w:space="0" w:color="2B144C" w:themeColor="accent6"/>
        <w:bottom w:val="single" w:sz="4" w:space="0" w:color="2B144C" w:themeColor="accent6"/>
        <w:right w:val="single" w:sz="4" w:space="0" w:color="2B144C" w:themeColor="accent6"/>
        <w:insideH w:val="single" w:sz="4" w:space="0" w:color="FFFFFF" w:themeColor="background1"/>
        <w:insideV w:val="single" w:sz="4" w:space="0" w:color="FFFFFF" w:themeColor="background1"/>
      </w:tblBorders>
    </w:tblPr>
    <w:tcPr>
      <w:shd w:val="clear" w:color="auto" w:fill="E8DEF6" w:themeFill="accent6" w:themeFillTint="19"/>
    </w:tcPr>
    <w:tblStylePr w:type="firstRow">
      <w:rPr>
        <w:b/>
        <w:bCs/>
      </w:rPr>
      <w:tblPr/>
      <w:tcPr>
        <w:tcBorders>
          <w:top w:val="nil"/>
          <w:left w:val="nil"/>
          <w:bottom w:val="single" w:sz="24" w:space="0" w:color="A06DF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0C2D" w:themeFill="accent6" w:themeFillShade="99"/>
      </w:tcPr>
    </w:tblStylePr>
    <w:tblStylePr w:type="firstCol">
      <w:rPr>
        <w:color w:val="FFFFFF" w:themeColor="background1"/>
      </w:rPr>
      <w:tblPr/>
      <w:tcPr>
        <w:tcBorders>
          <w:top w:val="nil"/>
          <w:left w:val="nil"/>
          <w:bottom w:val="nil"/>
          <w:right w:val="nil"/>
          <w:insideH w:val="single" w:sz="4" w:space="0" w:color="190C2D" w:themeColor="accent6" w:themeShade="99"/>
          <w:insideV w:val="nil"/>
        </w:tcBorders>
        <w:shd w:val="clear" w:color="auto" w:fill="190C2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190C2D" w:themeFill="accent6" w:themeFillShade="99"/>
      </w:tcPr>
    </w:tblStylePr>
    <w:tblStylePr w:type="band1Vert">
      <w:tblPr/>
      <w:tcPr>
        <w:shd w:val="clear" w:color="auto" w:fill="A37BDC" w:themeFill="accent6" w:themeFillTint="66"/>
      </w:tcPr>
    </w:tblStylePr>
    <w:tblStylePr w:type="band1Horz">
      <w:tblPr/>
      <w:tcPr>
        <w:shd w:val="clear" w:color="auto" w:fill="8C5BD4" w:themeFill="accent6" w:themeFillTint="7F"/>
      </w:tcPr>
    </w:tblStylePr>
    <w:tblStylePr w:type="neCell">
      <w:rPr>
        <w:color w:val="000000" w:themeColor="text1"/>
      </w:rPr>
    </w:tblStylePr>
    <w:tblStylePr w:type="nwCell">
      <w:rPr>
        <w:color w:val="000000" w:themeColor="text1"/>
      </w:rPr>
    </w:tblStylePr>
  </w:style>
  <w:style w:type="table" w:styleId="Elencoscuro">
    <w:name w:val="Dark List"/>
    <w:basedOn w:val="Tabellanormale"/>
    <w:uiPriority w:val="70"/>
    <w:semiHidden/>
    <w:unhideWhenUsed/>
    <w:rsid w:val="002B041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semiHidden/>
    <w:unhideWhenUsed/>
    <w:rsid w:val="002B0416"/>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Elencoscuro-Colore2">
    <w:name w:val="Dark List Accent 2"/>
    <w:basedOn w:val="Tabellanormale"/>
    <w:uiPriority w:val="70"/>
    <w:semiHidden/>
    <w:unhideWhenUsed/>
    <w:rsid w:val="002B0416"/>
    <w:rPr>
      <w:color w:val="FFFFFF" w:themeColor="background1"/>
    </w:rPr>
    <w:tblPr>
      <w:tblStyleRowBandSize w:val="1"/>
      <w:tblStyleColBandSize w:val="1"/>
    </w:tblPr>
    <w:tcPr>
      <w:shd w:val="clear" w:color="auto" w:fill="00A4B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15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7A8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7A86" w:themeFill="accent2" w:themeFillShade="BF"/>
      </w:tcPr>
    </w:tblStylePr>
    <w:tblStylePr w:type="band1Vert">
      <w:tblPr/>
      <w:tcPr>
        <w:tcBorders>
          <w:top w:val="nil"/>
          <w:left w:val="nil"/>
          <w:bottom w:val="nil"/>
          <w:right w:val="nil"/>
          <w:insideH w:val="nil"/>
          <w:insideV w:val="nil"/>
        </w:tcBorders>
        <w:shd w:val="clear" w:color="auto" w:fill="007A86" w:themeFill="accent2" w:themeFillShade="BF"/>
      </w:tcPr>
    </w:tblStylePr>
    <w:tblStylePr w:type="band1Horz">
      <w:tblPr/>
      <w:tcPr>
        <w:tcBorders>
          <w:top w:val="nil"/>
          <w:left w:val="nil"/>
          <w:bottom w:val="nil"/>
          <w:right w:val="nil"/>
          <w:insideH w:val="nil"/>
          <w:insideV w:val="nil"/>
        </w:tcBorders>
        <w:shd w:val="clear" w:color="auto" w:fill="007A86" w:themeFill="accent2" w:themeFillShade="BF"/>
      </w:tcPr>
    </w:tblStylePr>
  </w:style>
  <w:style w:type="table" w:styleId="Elencoscuro-Colore3">
    <w:name w:val="Dark List Accent 3"/>
    <w:basedOn w:val="Tabellanormale"/>
    <w:uiPriority w:val="70"/>
    <w:semiHidden/>
    <w:unhideWhenUsed/>
    <w:rsid w:val="002B0416"/>
    <w:rPr>
      <w:color w:val="FFFFFF" w:themeColor="background1"/>
    </w:rPr>
    <w:tblPr>
      <w:tblStyleRowBandSize w:val="1"/>
      <w:tblStyleColBandSize w:val="1"/>
    </w:tblPr>
    <w:tcPr>
      <w:shd w:val="clear" w:color="auto" w:fill="FF514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307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F50A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F50A00" w:themeFill="accent3" w:themeFillShade="BF"/>
      </w:tcPr>
    </w:tblStylePr>
    <w:tblStylePr w:type="band1Vert">
      <w:tblPr/>
      <w:tcPr>
        <w:tcBorders>
          <w:top w:val="nil"/>
          <w:left w:val="nil"/>
          <w:bottom w:val="nil"/>
          <w:right w:val="nil"/>
          <w:insideH w:val="nil"/>
          <w:insideV w:val="nil"/>
        </w:tcBorders>
        <w:shd w:val="clear" w:color="auto" w:fill="F50A00" w:themeFill="accent3" w:themeFillShade="BF"/>
      </w:tcPr>
    </w:tblStylePr>
    <w:tblStylePr w:type="band1Horz">
      <w:tblPr/>
      <w:tcPr>
        <w:tcBorders>
          <w:top w:val="nil"/>
          <w:left w:val="nil"/>
          <w:bottom w:val="nil"/>
          <w:right w:val="nil"/>
          <w:insideH w:val="nil"/>
          <w:insideV w:val="nil"/>
        </w:tcBorders>
        <w:shd w:val="clear" w:color="auto" w:fill="F50A00" w:themeFill="accent3" w:themeFillShade="BF"/>
      </w:tcPr>
    </w:tblStylePr>
  </w:style>
  <w:style w:type="table" w:styleId="Elencoscuro-Colore4">
    <w:name w:val="Dark List Accent 4"/>
    <w:basedOn w:val="Tabellanormale"/>
    <w:uiPriority w:val="70"/>
    <w:semiHidden/>
    <w:unhideWhenUsed/>
    <w:rsid w:val="002B0416"/>
    <w:rPr>
      <w:color w:val="FFFFFF" w:themeColor="background1"/>
    </w:rPr>
    <w:tblPr>
      <w:tblStyleRowBandSize w:val="1"/>
      <w:tblStyleColBandSize w:val="1"/>
    </w:tblPr>
    <w:tcPr>
      <w:shd w:val="clear" w:color="auto" w:fill="FFC23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D6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CA1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CA100" w:themeFill="accent4" w:themeFillShade="BF"/>
      </w:tcPr>
    </w:tblStylePr>
    <w:tblStylePr w:type="band1Vert">
      <w:tblPr/>
      <w:tcPr>
        <w:tcBorders>
          <w:top w:val="nil"/>
          <w:left w:val="nil"/>
          <w:bottom w:val="nil"/>
          <w:right w:val="nil"/>
          <w:insideH w:val="nil"/>
          <w:insideV w:val="nil"/>
        </w:tcBorders>
        <w:shd w:val="clear" w:color="auto" w:fill="ECA100" w:themeFill="accent4" w:themeFillShade="BF"/>
      </w:tcPr>
    </w:tblStylePr>
    <w:tblStylePr w:type="band1Horz">
      <w:tblPr/>
      <w:tcPr>
        <w:tcBorders>
          <w:top w:val="nil"/>
          <w:left w:val="nil"/>
          <w:bottom w:val="nil"/>
          <w:right w:val="nil"/>
          <w:insideH w:val="nil"/>
          <w:insideV w:val="nil"/>
        </w:tcBorders>
        <w:shd w:val="clear" w:color="auto" w:fill="ECA100" w:themeFill="accent4" w:themeFillShade="BF"/>
      </w:tcPr>
    </w:tblStylePr>
  </w:style>
  <w:style w:type="table" w:styleId="Elencoscuro-Colore5">
    <w:name w:val="Dark List Accent 5"/>
    <w:basedOn w:val="Tabellanormale"/>
    <w:uiPriority w:val="70"/>
    <w:semiHidden/>
    <w:unhideWhenUsed/>
    <w:rsid w:val="002B0416"/>
    <w:rPr>
      <w:color w:val="FFFFFF" w:themeColor="background1"/>
    </w:rPr>
    <w:tblPr>
      <w:tblStyleRowBandSize w:val="1"/>
      <w:tblStyleColBandSize w:val="1"/>
    </w:tblPr>
    <w:tcPr>
      <w:shd w:val="clear" w:color="auto" w:fill="A06DF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00B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411F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411FF" w:themeFill="accent5" w:themeFillShade="BF"/>
      </w:tcPr>
    </w:tblStylePr>
    <w:tblStylePr w:type="band1Vert">
      <w:tblPr/>
      <w:tcPr>
        <w:tcBorders>
          <w:top w:val="nil"/>
          <w:left w:val="nil"/>
          <w:bottom w:val="nil"/>
          <w:right w:val="nil"/>
          <w:insideH w:val="nil"/>
          <w:insideV w:val="nil"/>
        </w:tcBorders>
        <w:shd w:val="clear" w:color="auto" w:fill="6411FF" w:themeFill="accent5" w:themeFillShade="BF"/>
      </w:tcPr>
    </w:tblStylePr>
    <w:tblStylePr w:type="band1Horz">
      <w:tblPr/>
      <w:tcPr>
        <w:tcBorders>
          <w:top w:val="nil"/>
          <w:left w:val="nil"/>
          <w:bottom w:val="nil"/>
          <w:right w:val="nil"/>
          <w:insideH w:val="nil"/>
          <w:insideV w:val="nil"/>
        </w:tcBorders>
        <w:shd w:val="clear" w:color="auto" w:fill="6411FF" w:themeFill="accent5" w:themeFillShade="BF"/>
      </w:tcPr>
    </w:tblStylePr>
  </w:style>
  <w:style w:type="table" w:styleId="Elencoscuro-Colore6">
    <w:name w:val="Dark List Accent 6"/>
    <w:basedOn w:val="Tabellanormale"/>
    <w:uiPriority w:val="70"/>
    <w:semiHidden/>
    <w:unhideWhenUsed/>
    <w:rsid w:val="002B0416"/>
    <w:rPr>
      <w:color w:val="FFFFFF" w:themeColor="background1"/>
    </w:rPr>
    <w:tblPr>
      <w:tblStyleRowBandSize w:val="1"/>
      <w:tblStyleColBandSize w:val="1"/>
    </w:tblPr>
    <w:tcPr>
      <w:shd w:val="clear" w:color="auto" w:fill="2B144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0A2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F0F3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F0F38" w:themeFill="accent6" w:themeFillShade="BF"/>
      </w:tcPr>
    </w:tblStylePr>
    <w:tblStylePr w:type="band1Vert">
      <w:tblPr/>
      <w:tcPr>
        <w:tcBorders>
          <w:top w:val="nil"/>
          <w:left w:val="nil"/>
          <w:bottom w:val="nil"/>
          <w:right w:val="nil"/>
          <w:insideH w:val="nil"/>
          <w:insideV w:val="nil"/>
        </w:tcBorders>
        <w:shd w:val="clear" w:color="auto" w:fill="1F0F38" w:themeFill="accent6" w:themeFillShade="BF"/>
      </w:tcPr>
    </w:tblStylePr>
    <w:tblStylePr w:type="band1Horz">
      <w:tblPr/>
      <w:tcPr>
        <w:tcBorders>
          <w:top w:val="nil"/>
          <w:left w:val="nil"/>
          <w:bottom w:val="nil"/>
          <w:right w:val="nil"/>
          <w:insideH w:val="nil"/>
          <w:insideV w:val="nil"/>
        </w:tcBorders>
        <w:shd w:val="clear" w:color="auto" w:fill="1F0F38" w:themeFill="accent6" w:themeFillShade="BF"/>
      </w:tcPr>
    </w:tblStylePr>
  </w:style>
  <w:style w:type="table" w:styleId="Tabellagriglia1chiara">
    <w:name w:val="Grid Table 1 Light"/>
    <w:basedOn w:val="Tabellanormale"/>
    <w:uiPriority w:val="46"/>
    <w:rsid w:val="002B04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2B0416"/>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Tabellagriglia1chiara-colore2">
    <w:name w:val="Grid Table 1 Light Accent 2"/>
    <w:basedOn w:val="Tabellanormale"/>
    <w:uiPriority w:val="46"/>
    <w:rsid w:val="002B0416"/>
    <w:tblPr>
      <w:tblStyleRowBandSize w:val="1"/>
      <w:tblStyleColBandSize w:val="1"/>
      <w:tblBorders>
        <w:top w:val="single" w:sz="4" w:space="0" w:color="7AF3FF" w:themeColor="accent2" w:themeTint="66"/>
        <w:left w:val="single" w:sz="4" w:space="0" w:color="7AF3FF" w:themeColor="accent2" w:themeTint="66"/>
        <w:bottom w:val="single" w:sz="4" w:space="0" w:color="7AF3FF" w:themeColor="accent2" w:themeTint="66"/>
        <w:right w:val="single" w:sz="4" w:space="0" w:color="7AF3FF" w:themeColor="accent2" w:themeTint="66"/>
        <w:insideH w:val="single" w:sz="4" w:space="0" w:color="7AF3FF" w:themeColor="accent2" w:themeTint="66"/>
        <w:insideV w:val="single" w:sz="4" w:space="0" w:color="7AF3FF" w:themeColor="accent2" w:themeTint="66"/>
      </w:tblBorders>
    </w:tblPr>
    <w:tblStylePr w:type="firstRow">
      <w:rPr>
        <w:b/>
        <w:bCs/>
      </w:rPr>
      <w:tblPr/>
      <w:tcPr>
        <w:tcBorders>
          <w:bottom w:val="single" w:sz="12" w:space="0" w:color="38EDFF" w:themeColor="accent2" w:themeTint="99"/>
        </w:tcBorders>
      </w:tcPr>
    </w:tblStylePr>
    <w:tblStylePr w:type="lastRow">
      <w:rPr>
        <w:b/>
        <w:bCs/>
      </w:rPr>
      <w:tblPr/>
      <w:tcPr>
        <w:tcBorders>
          <w:top w:val="double" w:sz="2" w:space="0" w:color="38EDFF" w:themeColor="accent2" w:themeTint="99"/>
        </w:tcBorders>
      </w:tcPr>
    </w:tblStylePr>
    <w:tblStylePr w:type="firstCol">
      <w:rPr>
        <w:b/>
        <w:bCs/>
      </w:rPr>
    </w:tblStylePr>
    <w:tblStylePr w:type="lastCol">
      <w:rPr>
        <w:b/>
        <w:bCs/>
      </w:rPr>
    </w:tblStylePr>
  </w:style>
  <w:style w:type="table" w:styleId="Tabellagriglia1chiara-colore3">
    <w:name w:val="Grid Table 1 Light Accent 3"/>
    <w:basedOn w:val="Tabellanormale"/>
    <w:uiPriority w:val="46"/>
    <w:rsid w:val="002B0416"/>
    <w:tblPr>
      <w:tblStyleRowBandSize w:val="1"/>
      <w:tblStyleColBandSize w:val="1"/>
      <w:tblBorders>
        <w:top w:val="single" w:sz="4" w:space="0" w:color="FFB9B6" w:themeColor="accent3" w:themeTint="66"/>
        <w:left w:val="single" w:sz="4" w:space="0" w:color="FFB9B6" w:themeColor="accent3" w:themeTint="66"/>
        <w:bottom w:val="single" w:sz="4" w:space="0" w:color="FFB9B6" w:themeColor="accent3" w:themeTint="66"/>
        <w:right w:val="single" w:sz="4" w:space="0" w:color="FFB9B6" w:themeColor="accent3" w:themeTint="66"/>
        <w:insideH w:val="single" w:sz="4" w:space="0" w:color="FFB9B6" w:themeColor="accent3" w:themeTint="66"/>
        <w:insideV w:val="single" w:sz="4" w:space="0" w:color="FFB9B6" w:themeColor="accent3" w:themeTint="66"/>
      </w:tblBorders>
    </w:tblPr>
    <w:tblStylePr w:type="firstRow">
      <w:rPr>
        <w:b/>
        <w:bCs/>
      </w:rPr>
      <w:tblPr/>
      <w:tcPr>
        <w:tcBorders>
          <w:bottom w:val="single" w:sz="12" w:space="0" w:color="FF9691" w:themeColor="accent3" w:themeTint="99"/>
        </w:tcBorders>
      </w:tcPr>
    </w:tblStylePr>
    <w:tblStylePr w:type="lastRow">
      <w:rPr>
        <w:b/>
        <w:bCs/>
      </w:rPr>
      <w:tblPr/>
      <w:tcPr>
        <w:tcBorders>
          <w:top w:val="double" w:sz="2" w:space="0" w:color="FF9691" w:themeColor="accent3" w:themeTint="99"/>
        </w:tcBorders>
      </w:tcPr>
    </w:tblStylePr>
    <w:tblStylePr w:type="firstCol">
      <w:rPr>
        <w:b/>
        <w:bCs/>
      </w:rPr>
    </w:tblStylePr>
    <w:tblStylePr w:type="lastCol">
      <w:rPr>
        <w:b/>
        <w:bCs/>
      </w:rPr>
    </w:tblStylePr>
  </w:style>
  <w:style w:type="table" w:styleId="Tabellagriglia1chiara-colore4">
    <w:name w:val="Grid Table 1 Light Accent 4"/>
    <w:basedOn w:val="Tabellanormale"/>
    <w:uiPriority w:val="46"/>
    <w:rsid w:val="002B0416"/>
    <w:tblPr>
      <w:tblStyleRowBandSize w:val="1"/>
      <w:tblStyleColBandSize w:val="1"/>
      <w:tblBorders>
        <w:top w:val="single" w:sz="4" w:space="0" w:color="FFE6B1" w:themeColor="accent4" w:themeTint="66"/>
        <w:left w:val="single" w:sz="4" w:space="0" w:color="FFE6B1" w:themeColor="accent4" w:themeTint="66"/>
        <w:bottom w:val="single" w:sz="4" w:space="0" w:color="FFE6B1" w:themeColor="accent4" w:themeTint="66"/>
        <w:right w:val="single" w:sz="4" w:space="0" w:color="FFE6B1" w:themeColor="accent4" w:themeTint="66"/>
        <w:insideH w:val="single" w:sz="4" w:space="0" w:color="FFE6B1" w:themeColor="accent4" w:themeTint="66"/>
        <w:insideV w:val="single" w:sz="4" w:space="0" w:color="FFE6B1" w:themeColor="accent4" w:themeTint="66"/>
      </w:tblBorders>
    </w:tblPr>
    <w:tblStylePr w:type="firstRow">
      <w:rPr>
        <w:b/>
        <w:bCs/>
      </w:rPr>
      <w:tblPr/>
      <w:tcPr>
        <w:tcBorders>
          <w:bottom w:val="single" w:sz="12" w:space="0" w:color="FFD98A" w:themeColor="accent4" w:themeTint="99"/>
        </w:tcBorders>
      </w:tcPr>
    </w:tblStylePr>
    <w:tblStylePr w:type="lastRow">
      <w:rPr>
        <w:b/>
        <w:bCs/>
      </w:rPr>
      <w:tblPr/>
      <w:tcPr>
        <w:tcBorders>
          <w:top w:val="double" w:sz="2" w:space="0" w:color="FFD98A" w:themeColor="accent4" w:themeTint="99"/>
        </w:tcBorders>
      </w:tcPr>
    </w:tblStylePr>
    <w:tblStylePr w:type="firstCol">
      <w:rPr>
        <w:b/>
        <w:bCs/>
      </w:rPr>
    </w:tblStylePr>
    <w:tblStylePr w:type="lastCol">
      <w:rPr>
        <w:b/>
        <w:bCs/>
      </w:rPr>
    </w:tblStylePr>
  </w:style>
  <w:style w:type="table" w:styleId="Tabellagriglia1chiara-colore5">
    <w:name w:val="Grid Table 1 Light Accent 5"/>
    <w:basedOn w:val="Tabellanormale"/>
    <w:uiPriority w:val="46"/>
    <w:rsid w:val="002B0416"/>
    <w:tblPr>
      <w:tblStyleRowBandSize w:val="1"/>
      <w:tblStyleColBandSize w:val="1"/>
      <w:tblBorders>
        <w:top w:val="single" w:sz="4" w:space="0" w:color="D8C4FF" w:themeColor="accent5" w:themeTint="66"/>
        <w:left w:val="single" w:sz="4" w:space="0" w:color="D8C4FF" w:themeColor="accent5" w:themeTint="66"/>
        <w:bottom w:val="single" w:sz="4" w:space="0" w:color="D8C4FF" w:themeColor="accent5" w:themeTint="66"/>
        <w:right w:val="single" w:sz="4" w:space="0" w:color="D8C4FF" w:themeColor="accent5" w:themeTint="66"/>
        <w:insideH w:val="single" w:sz="4" w:space="0" w:color="D8C4FF" w:themeColor="accent5" w:themeTint="66"/>
        <w:insideV w:val="single" w:sz="4" w:space="0" w:color="D8C4FF" w:themeColor="accent5" w:themeTint="66"/>
      </w:tblBorders>
    </w:tblPr>
    <w:tblStylePr w:type="firstRow">
      <w:rPr>
        <w:b/>
        <w:bCs/>
      </w:rPr>
      <w:tblPr/>
      <w:tcPr>
        <w:tcBorders>
          <w:bottom w:val="single" w:sz="12" w:space="0" w:color="C5A7FF" w:themeColor="accent5" w:themeTint="99"/>
        </w:tcBorders>
      </w:tcPr>
    </w:tblStylePr>
    <w:tblStylePr w:type="lastRow">
      <w:rPr>
        <w:b/>
        <w:bCs/>
      </w:rPr>
      <w:tblPr/>
      <w:tcPr>
        <w:tcBorders>
          <w:top w:val="double" w:sz="2" w:space="0" w:color="C5A7FF" w:themeColor="accent5" w:themeTint="99"/>
        </w:tcBorders>
      </w:tcPr>
    </w:tblStylePr>
    <w:tblStylePr w:type="firstCol">
      <w:rPr>
        <w:b/>
        <w:bCs/>
      </w:rPr>
    </w:tblStylePr>
    <w:tblStylePr w:type="lastCol">
      <w:rPr>
        <w:b/>
        <w:bCs/>
      </w:rPr>
    </w:tblStylePr>
  </w:style>
  <w:style w:type="table" w:styleId="Tabellagriglia1chiara-colore6">
    <w:name w:val="Grid Table 1 Light Accent 6"/>
    <w:basedOn w:val="Tabellanormale"/>
    <w:uiPriority w:val="46"/>
    <w:rsid w:val="002B0416"/>
    <w:tblPr>
      <w:tblStyleRowBandSize w:val="1"/>
      <w:tblStyleColBandSize w:val="1"/>
      <w:tblBorders>
        <w:top w:val="single" w:sz="4" w:space="0" w:color="A37BDC" w:themeColor="accent6" w:themeTint="66"/>
        <w:left w:val="single" w:sz="4" w:space="0" w:color="A37BDC" w:themeColor="accent6" w:themeTint="66"/>
        <w:bottom w:val="single" w:sz="4" w:space="0" w:color="A37BDC" w:themeColor="accent6" w:themeTint="66"/>
        <w:right w:val="single" w:sz="4" w:space="0" w:color="A37BDC" w:themeColor="accent6" w:themeTint="66"/>
        <w:insideH w:val="single" w:sz="4" w:space="0" w:color="A37BDC" w:themeColor="accent6" w:themeTint="66"/>
        <w:insideV w:val="single" w:sz="4" w:space="0" w:color="A37BDC" w:themeColor="accent6" w:themeTint="66"/>
      </w:tblBorders>
    </w:tblPr>
    <w:tblStylePr w:type="firstRow">
      <w:rPr>
        <w:b/>
        <w:bCs/>
      </w:rPr>
      <w:tblPr/>
      <w:tcPr>
        <w:tcBorders>
          <w:bottom w:val="single" w:sz="12" w:space="0" w:color="753ACB" w:themeColor="accent6" w:themeTint="99"/>
        </w:tcBorders>
      </w:tcPr>
    </w:tblStylePr>
    <w:tblStylePr w:type="lastRow">
      <w:rPr>
        <w:b/>
        <w:bCs/>
      </w:rPr>
      <w:tblPr/>
      <w:tcPr>
        <w:tcBorders>
          <w:top w:val="double" w:sz="2" w:space="0" w:color="753ACB" w:themeColor="accent6" w:themeTint="99"/>
        </w:tcBorders>
      </w:tcPr>
    </w:tblStylePr>
    <w:tblStylePr w:type="firstCol">
      <w:rPr>
        <w:b/>
        <w:bCs/>
      </w:rPr>
    </w:tblStylePr>
    <w:tblStylePr w:type="lastCol">
      <w:rPr>
        <w:b/>
        <w:bCs/>
      </w:rPr>
    </w:tblStylePr>
  </w:style>
  <w:style w:type="table" w:styleId="Tabellagriglia2">
    <w:name w:val="Grid Table 2"/>
    <w:basedOn w:val="Tabellanormale"/>
    <w:uiPriority w:val="47"/>
    <w:rsid w:val="002B041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2-colore1">
    <w:name w:val="Grid Table 2 Accent 1"/>
    <w:basedOn w:val="Tabellanormale"/>
    <w:uiPriority w:val="47"/>
    <w:rsid w:val="002B0416"/>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griglia2-colore2">
    <w:name w:val="Grid Table 2 Accent 2"/>
    <w:basedOn w:val="Tabellanormale"/>
    <w:uiPriority w:val="47"/>
    <w:rsid w:val="002B0416"/>
    <w:tblPr>
      <w:tblStyleRowBandSize w:val="1"/>
      <w:tblStyleColBandSize w:val="1"/>
      <w:tblBorders>
        <w:top w:val="single" w:sz="2" w:space="0" w:color="38EDFF" w:themeColor="accent2" w:themeTint="99"/>
        <w:bottom w:val="single" w:sz="2" w:space="0" w:color="38EDFF" w:themeColor="accent2" w:themeTint="99"/>
        <w:insideH w:val="single" w:sz="2" w:space="0" w:color="38EDFF" w:themeColor="accent2" w:themeTint="99"/>
        <w:insideV w:val="single" w:sz="2" w:space="0" w:color="38EDFF" w:themeColor="accent2" w:themeTint="99"/>
      </w:tblBorders>
    </w:tblPr>
    <w:tblStylePr w:type="firstRow">
      <w:rPr>
        <w:b/>
        <w:bCs/>
      </w:rPr>
      <w:tblPr/>
      <w:tcPr>
        <w:tcBorders>
          <w:top w:val="nil"/>
          <w:bottom w:val="single" w:sz="12" w:space="0" w:color="38EDFF" w:themeColor="accent2" w:themeTint="99"/>
          <w:insideH w:val="nil"/>
          <w:insideV w:val="nil"/>
        </w:tcBorders>
        <w:shd w:val="clear" w:color="auto" w:fill="FFFFFF" w:themeFill="background1"/>
      </w:tcPr>
    </w:tblStylePr>
    <w:tblStylePr w:type="lastRow">
      <w:rPr>
        <w:b/>
        <w:bCs/>
      </w:rPr>
      <w:tblPr/>
      <w:tcPr>
        <w:tcBorders>
          <w:top w:val="double" w:sz="2" w:space="0" w:color="38ED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griglia2-colore3">
    <w:name w:val="Grid Table 2 Accent 3"/>
    <w:basedOn w:val="Tabellanormale"/>
    <w:uiPriority w:val="47"/>
    <w:rsid w:val="002B0416"/>
    <w:tblPr>
      <w:tblStyleRowBandSize w:val="1"/>
      <w:tblStyleColBandSize w:val="1"/>
      <w:tblBorders>
        <w:top w:val="single" w:sz="2" w:space="0" w:color="FF9691" w:themeColor="accent3" w:themeTint="99"/>
        <w:bottom w:val="single" w:sz="2" w:space="0" w:color="FF9691" w:themeColor="accent3" w:themeTint="99"/>
        <w:insideH w:val="single" w:sz="2" w:space="0" w:color="FF9691" w:themeColor="accent3" w:themeTint="99"/>
        <w:insideV w:val="single" w:sz="2" w:space="0" w:color="FF9691" w:themeColor="accent3" w:themeTint="99"/>
      </w:tblBorders>
    </w:tblPr>
    <w:tblStylePr w:type="firstRow">
      <w:rPr>
        <w:b/>
        <w:bCs/>
      </w:rPr>
      <w:tblPr/>
      <w:tcPr>
        <w:tcBorders>
          <w:top w:val="nil"/>
          <w:bottom w:val="single" w:sz="12" w:space="0" w:color="FF9691" w:themeColor="accent3" w:themeTint="99"/>
          <w:insideH w:val="nil"/>
          <w:insideV w:val="nil"/>
        </w:tcBorders>
        <w:shd w:val="clear" w:color="auto" w:fill="FFFFFF" w:themeFill="background1"/>
      </w:tcPr>
    </w:tblStylePr>
    <w:tblStylePr w:type="lastRow">
      <w:rPr>
        <w:b/>
        <w:bCs/>
      </w:rPr>
      <w:tblPr/>
      <w:tcPr>
        <w:tcBorders>
          <w:top w:val="double" w:sz="2" w:space="0" w:color="FF969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griglia2-colore4">
    <w:name w:val="Grid Table 2 Accent 4"/>
    <w:basedOn w:val="Tabellanormale"/>
    <w:uiPriority w:val="47"/>
    <w:rsid w:val="002B0416"/>
    <w:tblPr>
      <w:tblStyleRowBandSize w:val="1"/>
      <w:tblStyleColBandSize w:val="1"/>
      <w:tblBorders>
        <w:top w:val="single" w:sz="2" w:space="0" w:color="FFD98A" w:themeColor="accent4" w:themeTint="99"/>
        <w:bottom w:val="single" w:sz="2" w:space="0" w:color="FFD98A" w:themeColor="accent4" w:themeTint="99"/>
        <w:insideH w:val="single" w:sz="2" w:space="0" w:color="FFD98A" w:themeColor="accent4" w:themeTint="99"/>
        <w:insideV w:val="single" w:sz="2" w:space="0" w:color="FFD98A" w:themeColor="accent4" w:themeTint="99"/>
      </w:tblBorders>
    </w:tblPr>
    <w:tblStylePr w:type="firstRow">
      <w:rPr>
        <w:b/>
        <w:bCs/>
      </w:rPr>
      <w:tblPr/>
      <w:tcPr>
        <w:tcBorders>
          <w:top w:val="nil"/>
          <w:bottom w:val="single" w:sz="12" w:space="0" w:color="FFD98A" w:themeColor="accent4" w:themeTint="99"/>
          <w:insideH w:val="nil"/>
          <w:insideV w:val="nil"/>
        </w:tcBorders>
        <w:shd w:val="clear" w:color="auto" w:fill="FFFFFF" w:themeFill="background1"/>
      </w:tcPr>
    </w:tblStylePr>
    <w:tblStylePr w:type="lastRow">
      <w:rPr>
        <w:b/>
        <w:bCs/>
      </w:rPr>
      <w:tblPr/>
      <w:tcPr>
        <w:tcBorders>
          <w:top w:val="double" w:sz="2" w:space="0" w:color="FFD98A"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griglia2-colore5">
    <w:name w:val="Grid Table 2 Accent 5"/>
    <w:basedOn w:val="Tabellanormale"/>
    <w:uiPriority w:val="47"/>
    <w:rsid w:val="002B0416"/>
    <w:tblPr>
      <w:tblStyleRowBandSize w:val="1"/>
      <w:tblStyleColBandSize w:val="1"/>
      <w:tblBorders>
        <w:top w:val="single" w:sz="2" w:space="0" w:color="C5A7FF" w:themeColor="accent5" w:themeTint="99"/>
        <w:bottom w:val="single" w:sz="2" w:space="0" w:color="C5A7FF" w:themeColor="accent5" w:themeTint="99"/>
        <w:insideH w:val="single" w:sz="2" w:space="0" w:color="C5A7FF" w:themeColor="accent5" w:themeTint="99"/>
        <w:insideV w:val="single" w:sz="2" w:space="0" w:color="C5A7FF" w:themeColor="accent5" w:themeTint="99"/>
      </w:tblBorders>
    </w:tblPr>
    <w:tblStylePr w:type="firstRow">
      <w:rPr>
        <w:b/>
        <w:bCs/>
      </w:rPr>
      <w:tblPr/>
      <w:tcPr>
        <w:tcBorders>
          <w:top w:val="nil"/>
          <w:bottom w:val="single" w:sz="12" w:space="0" w:color="C5A7FF" w:themeColor="accent5" w:themeTint="99"/>
          <w:insideH w:val="nil"/>
          <w:insideV w:val="nil"/>
        </w:tcBorders>
        <w:shd w:val="clear" w:color="auto" w:fill="FFFFFF" w:themeFill="background1"/>
      </w:tcPr>
    </w:tblStylePr>
    <w:tblStylePr w:type="lastRow">
      <w:rPr>
        <w:b/>
        <w:bCs/>
      </w:rPr>
      <w:tblPr/>
      <w:tcPr>
        <w:tcBorders>
          <w:top w:val="double" w:sz="2" w:space="0" w:color="C5A7F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griglia2-colore6">
    <w:name w:val="Grid Table 2 Accent 6"/>
    <w:basedOn w:val="Tabellanormale"/>
    <w:uiPriority w:val="47"/>
    <w:rsid w:val="002B0416"/>
    <w:tblPr>
      <w:tblStyleRowBandSize w:val="1"/>
      <w:tblStyleColBandSize w:val="1"/>
      <w:tblBorders>
        <w:top w:val="single" w:sz="2" w:space="0" w:color="753ACB" w:themeColor="accent6" w:themeTint="99"/>
        <w:bottom w:val="single" w:sz="2" w:space="0" w:color="753ACB" w:themeColor="accent6" w:themeTint="99"/>
        <w:insideH w:val="single" w:sz="2" w:space="0" w:color="753ACB" w:themeColor="accent6" w:themeTint="99"/>
        <w:insideV w:val="single" w:sz="2" w:space="0" w:color="753ACB" w:themeColor="accent6" w:themeTint="99"/>
      </w:tblBorders>
    </w:tblPr>
    <w:tblStylePr w:type="firstRow">
      <w:rPr>
        <w:b/>
        <w:bCs/>
      </w:rPr>
      <w:tblPr/>
      <w:tcPr>
        <w:tcBorders>
          <w:top w:val="nil"/>
          <w:bottom w:val="single" w:sz="12" w:space="0" w:color="753ACB" w:themeColor="accent6" w:themeTint="99"/>
          <w:insideH w:val="nil"/>
          <w:insideV w:val="nil"/>
        </w:tcBorders>
        <w:shd w:val="clear" w:color="auto" w:fill="FFFFFF" w:themeFill="background1"/>
      </w:tcPr>
    </w:tblStylePr>
    <w:tblStylePr w:type="lastRow">
      <w:rPr>
        <w:b/>
        <w:bCs/>
      </w:rPr>
      <w:tblPr/>
      <w:tcPr>
        <w:tcBorders>
          <w:top w:val="double" w:sz="2" w:space="0" w:color="753ACB"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Grigliatab3">
    <w:name w:val="Grid Table 3"/>
    <w:basedOn w:val="Tabellanormale"/>
    <w:uiPriority w:val="48"/>
    <w:rsid w:val="002B041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3-colore1">
    <w:name w:val="Grid Table 3 Accent 1"/>
    <w:basedOn w:val="Tabellanormale"/>
    <w:uiPriority w:val="48"/>
    <w:rsid w:val="002B0416"/>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Tabellagriglia3-colore2">
    <w:name w:val="Grid Table 3 Accent 2"/>
    <w:basedOn w:val="Tabellanormale"/>
    <w:uiPriority w:val="48"/>
    <w:rsid w:val="002B0416"/>
    <w:tblPr>
      <w:tblStyleRowBandSize w:val="1"/>
      <w:tblStyleColBandSize w:val="1"/>
      <w:tblBorders>
        <w:top w:val="single" w:sz="4" w:space="0" w:color="38EDFF" w:themeColor="accent2" w:themeTint="99"/>
        <w:left w:val="single" w:sz="4" w:space="0" w:color="38EDFF" w:themeColor="accent2" w:themeTint="99"/>
        <w:bottom w:val="single" w:sz="4" w:space="0" w:color="38EDFF" w:themeColor="accent2" w:themeTint="99"/>
        <w:right w:val="single" w:sz="4" w:space="0" w:color="38EDFF" w:themeColor="accent2" w:themeTint="99"/>
        <w:insideH w:val="single" w:sz="4" w:space="0" w:color="38EDFF" w:themeColor="accent2" w:themeTint="99"/>
        <w:insideV w:val="single" w:sz="4" w:space="0" w:color="38ED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9FF" w:themeFill="accent2" w:themeFillTint="33"/>
      </w:tcPr>
    </w:tblStylePr>
    <w:tblStylePr w:type="band1Horz">
      <w:tblPr/>
      <w:tcPr>
        <w:shd w:val="clear" w:color="auto" w:fill="BCF9FF" w:themeFill="accent2" w:themeFillTint="33"/>
      </w:tcPr>
    </w:tblStylePr>
    <w:tblStylePr w:type="neCell">
      <w:tblPr/>
      <w:tcPr>
        <w:tcBorders>
          <w:bottom w:val="single" w:sz="4" w:space="0" w:color="38EDFF" w:themeColor="accent2" w:themeTint="99"/>
        </w:tcBorders>
      </w:tcPr>
    </w:tblStylePr>
    <w:tblStylePr w:type="nwCell">
      <w:tblPr/>
      <w:tcPr>
        <w:tcBorders>
          <w:bottom w:val="single" w:sz="4" w:space="0" w:color="38EDFF" w:themeColor="accent2" w:themeTint="99"/>
        </w:tcBorders>
      </w:tcPr>
    </w:tblStylePr>
    <w:tblStylePr w:type="seCell">
      <w:tblPr/>
      <w:tcPr>
        <w:tcBorders>
          <w:top w:val="single" w:sz="4" w:space="0" w:color="38EDFF" w:themeColor="accent2" w:themeTint="99"/>
        </w:tcBorders>
      </w:tcPr>
    </w:tblStylePr>
    <w:tblStylePr w:type="swCell">
      <w:tblPr/>
      <w:tcPr>
        <w:tcBorders>
          <w:top w:val="single" w:sz="4" w:space="0" w:color="38EDFF" w:themeColor="accent2" w:themeTint="99"/>
        </w:tcBorders>
      </w:tcPr>
    </w:tblStylePr>
  </w:style>
  <w:style w:type="table" w:styleId="Tabellagriglia3-colore3">
    <w:name w:val="Grid Table 3 Accent 3"/>
    <w:basedOn w:val="Tabellanormale"/>
    <w:uiPriority w:val="48"/>
    <w:rsid w:val="002B0416"/>
    <w:tblPr>
      <w:tblStyleRowBandSize w:val="1"/>
      <w:tblStyleColBandSize w:val="1"/>
      <w:tblBorders>
        <w:top w:val="single" w:sz="4" w:space="0" w:color="FF9691" w:themeColor="accent3" w:themeTint="99"/>
        <w:left w:val="single" w:sz="4" w:space="0" w:color="FF9691" w:themeColor="accent3" w:themeTint="99"/>
        <w:bottom w:val="single" w:sz="4" w:space="0" w:color="FF9691" w:themeColor="accent3" w:themeTint="99"/>
        <w:right w:val="single" w:sz="4" w:space="0" w:color="FF9691" w:themeColor="accent3" w:themeTint="99"/>
        <w:insideH w:val="single" w:sz="4" w:space="0" w:color="FF9691" w:themeColor="accent3" w:themeTint="99"/>
        <w:insideV w:val="single" w:sz="4" w:space="0" w:color="FF969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DA" w:themeFill="accent3" w:themeFillTint="33"/>
      </w:tcPr>
    </w:tblStylePr>
    <w:tblStylePr w:type="band1Horz">
      <w:tblPr/>
      <w:tcPr>
        <w:shd w:val="clear" w:color="auto" w:fill="FFDBDA" w:themeFill="accent3" w:themeFillTint="33"/>
      </w:tcPr>
    </w:tblStylePr>
    <w:tblStylePr w:type="neCell">
      <w:tblPr/>
      <w:tcPr>
        <w:tcBorders>
          <w:bottom w:val="single" w:sz="4" w:space="0" w:color="FF9691" w:themeColor="accent3" w:themeTint="99"/>
        </w:tcBorders>
      </w:tcPr>
    </w:tblStylePr>
    <w:tblStylePr w:type="nwCell">
      <w:tblPr/>
      <w:tcPr>
        <w:tcBorders>
          <w:bottom w:val="single" w:sz="4" w:space="0" w:color="FF9691" w:themeColor="accent3" w:themeTint="99"/>
        </w:tcBorders>
      </w:tcPr>
    </w:tblStylePr>
    <w:tblStylePr w:type="seCell">
      <w:tblPr/>
      <w:tcPr>
        <w:tcBorders>
          <w:top w:val="single" w:sz="4" w:space="0" w:color="FF9691" w:themeColor="accent3" w:themeTint="99"/>
        </w:tcBorders>
      </w:tcPr>
    </w:tblStylePr>
    <w:tblStylePr w:type="swCell">
      <w:tblPr/>
      <w:tcPr>
        <w:tcBorders>
          <w:top w:val="single" w:sz="4" w:space="0" w:color="FF9691" w:themeColor="accent3" w:themeTint="99"/>
        </w:tcBorders>
      </w:tcPr>
    </w:tblStylePr>
  </w:style>
  <w:style w:type="table" w:styleId="Tabellagriglia3-colore4">
    <w:name w:val="Grid Table 3 Accent 4"/>
    <w:basedOn w:val="Tabellanormale"/>
    <w:uiPriority w:val="48"/>
    <w:rsid w:val="002B0416"/>
    <w:tblPr>
      <w:tblStyleRowBandSize w:val="1"/>
      <w:tblStyleColBandSize w:val="1"/>
      <w:tblBorders>
        <w:top w:val="single" w:sz="4" w:space="0" w:color="FFD98A" w:themeColor="accent4" w:themeTint="99"/>
        <w:left w:val="single" w:sz="4" w:space="0" w:color="FFD98A" w:themeColor="accent4" w:themeTint="99"/>
        <w:bottom w:val="single" w:sz="4" w:space="0" w:color="FFD98A" w:themeColor="accent4" w:themeTint="99"/>
        <w:right w:val="single" w:sz="4" w:space="0" w:color="FFD98A" w:themeColor="accent4" w:themeTint="99"/>
        <w:insideH w:val="single" w:sz="4" w:space="0" w:color="FFD98A" w:themeColor="accent4" w:themeTint="99"/>
        <w:insideV w:val="single" w:sz="4" w:space="0" w:color="FFD98A"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D8" w:themeFill="accent4" w:themeFillTint="33"/>
      </w:tcPr>
    </w:tblStylePr>
    <w:tblStylePr w:type="band1Horz">
      <w:tblPr/>
      <w:tcPr>
        <w:shd w:val="clear" w:color="auto" w:fill="FFF2D8" w:themeFill="accent4" w:themeFillTint="33"/>
      </w:tcPr>
    </w:tblStylePr>
    <w:tblStylePr w:type="neCell">
      <w:tblPr/>
      <w:tcPr>
        <w:tcBorders>
          <w:bottom w:val="single" w:sz="4" w:space="0" w:color="FFD98A" w:themeColor="accent4" w:themeTint="99"/>
        </w:tcBorders>
      </w:tcPr>
    </w:tblStylePr>
    <w:tblStylePr w:type="nwCell">
      <w:tblPr/>
      <w:tcPr>
        <w:tcBorders>
          <w:bottom w:val="single" w:sz="4" w:space="0" w:color="FFD98A" w:themeColor="accent4" w:themeTint="99"/>
        </w:tcBorders>
      </w:tcPr>
    </w:tblStylePr>
    <w:tblStylePr w:type="seCell">
      <w:tblPr/>
      <w:tcPr>
        <w:tcBorders>
          <w:top w:val="single" w:sz="4" w:space="0" w:color="FFD98A" w:themeColor="accent4" w:themeTint="99"/>
        </w:tcBorders>
      </w:tcPr>
    </w:tblStylePr>
    <w:tblStylePr w:type="swCell">
      <w:tblPr/>
      <w:tcPr>
        <w:tcBorders>
          <w:top w:val="single" w:sz="4" w:space="0" w:color="FFD98A" w:themeColor="accent4" w:themeTint="99"/>
        </w:tcBorders>
      </w:tcPr>
    </w:tblStylePr>
  </w:style>
  <w:style w:type="table" w:styleId="Tabellagriglia3-colore5">
    <w:name w:val="Grid Table 3 Accent 5"/>
    <w:basedOn w:val="Tabellanormale"/>
    <w:uiPriority w:val="48"/>
    <w:rsid w:val="002B0416"/>
    <w:tblPr>
      <w:tblStyleRowBandSize w:val="1"/>
      <w:tblStyleColBandSize w:val="1"/>
      <w:tblBorders>
        <w:top w:val="single" w:sz="4" w:space="0" w:color="C5A7FF" w:themeColor="accent5" w:themeTint="99"/>
        <w:left w:val="single" w:sz="4" w:space="0" w:color="C5A7FF" w:themeColor="accent5" w:themeTint="99"/>
        <w:bottom w:val="single" w:sz="4" w:space="0" w:color="C5A7FF" w:themeColor="accent5" w:themeTint="99"/>
        <w:right w:val="single" w:sz="4" w:space="0" w:color="C5A7FF" w:themeColor="accent5" w:themeTint="99"/>
        <w:insideH w:val="single" w:sz="4" w:space="0" w:color="C5A7FF" w:themeColor="accent5" w:themeTint="99"/>
        <w:insideV w:val="single" w:sz="4" w:space="0" w:color="C5A7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1FF" w:themeFill="accent5" w:themeFillTint="33"/>
      </w:tcPr>
    </w:tblStylePr>
    <w:tblStylePr w:type="band1Horz">
      <w:tblPr/>
      <w:tcPr>
        <w:shd w:val="clear" w:color="auto" w:fill="EBE1FF" w:themeFill="accent5" w:themeFillTint="33"/>
      </w:tcPr>
    </w:tblStylePr>
    <w:tblStylePr w:type="neCell">
      <w:tblPr/>
      <w:tcPr>
        <w:tcBorders>
          <w:bottom w:val="single" w:sz="4" w:space="0" w:color="C5A7FF" w:themeColor="accent5" w:themeTint="99"/>
        </w:tcBorders>
      </w:tcPr>
    </w:tblStylePr>
    <w:tblStylePr w:type="nwCell">
      <w:tblPr/>
      <w:tcPr>
        <w:tcBorders>
          <w:bottom w:val="single" w:sz="4" w:space="0" w:color="C5A7FF" w:themeColor="accent5" w:themeTint="99"/>
        </w:tcBorders>
      </w:tcPr>
    </w:tblStylePr>
    <w:tblStylePr w:type="seCell">
      <w:tblPr/>
      <w:tcPr>
        <w:tcBorders>
          <w:top w:val="single" w:sz="4" w:space="0" w:color="C5A7FF" w:themeColor="accent5" w:themeTint="99"/>
        </w:tcBorders>
      </w:tcPr>
    </w:tblStylePr>
    <w:tblStylePr w:type="swCell">
      <w:tblPr/>
      <w:tcPr>
        <w:tcBorders>
          <w:top w:val="single" w:sz="4" w:space="0" w:color="C5A7FF" w:themeColor="accent5" w:themeTint="99"/>
        </w:tcBorders>
      </w:tcPr>
    </w:tblStylePr>
  </w:style>
  <w:style w:type="table" w:styleId="Tabellagriglia3-colore6">
    <w:name w:val="Grid Table 3 Accent 6"/>
    <w:basedOn w:val="Tabellanormale"/>
    <w:uiPriority w:val="48"/>
    <w:rsid w:val="002B0416"/>
    <w:tblPr>
      <w:tblStyleRowBandSize w:val="1"/>
      <w:tblStyleColBandSize w:val="1"/>
      <w:tblBorders>
        <w:top w:val="single" w:sz="4" w:space="0" w:color="753ACB" w:themeColor="accent6" w:themeTint="99"/>
        <w:left w:val="single" w:sz="4" w:space="0" w:color="753ACB" w:themeColor="accent6" w:themeTint="99"/>
        <w:bottom w:val="single" w:sz="4" w:space="0" w:color="753ACB" w:themeColor="accent6" w:themeTint="99"/>
        <w:right w:val="single" w:sz="4" w:space="0" w:color="753ACB" w:themeColor="accent6" w:themeTint="99"/>
        <w:insideH w:val="single" w:sz="4" w:space="0" w:color="753ACB" w:themeColor="accent6" w:themeTint="99"/>
        <w:insideV w:val="single" w:sz="4" w:space="0" w:color="753AC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BDED" w:themeFill="accent6" w:themeFillTint="33"/>
      </w:tcPr>
    </w:tblStylePr>
    <w:tblStylePr w:type="band1Horz">
      <w:tblPr/>
      <w:tcPr>
        <w:shd w:val="clear" w:color="auto" w:fill="D1BDED" w:themeFill="accent6" w:themeFillTint="33"/>
      </w:tcPr>
    </w:tblStylePr>
    <w:tblStylePr w:type="neCell">
      <w:tblPr/>
      <w:tcPr>
        <w:tcBorders>
          <w:bottom w:val="single" w:sz="4" w:space="0" w:color="753ACB" w:themeColor="accent6" w:themeTint="99"/>
        </w:tcBorders>
      </w:tcPr>
    </w:tblStylePr>
    <w:tblStylePr w:type="nwCell">
      <w:tblPr/>
      <w:tcPr>
        <w:tcBorders>
          <w:bottom w:val="single" w:sz="4" w:space="0" w:color="753ACB" w:themeColor="accent6" w:themeTint="99"/>
        </w:tcBorders>
      </w:tcPr>
    </w:tblStylePr>
    <w:tblStylePr w:type="seCell">
      <w:tblPr/>
      <w:tcPr>
        <w:tcBorders>
          <w:top w:val="single" w:sz="4" w:space="0" w:color="753ACB" w:themeColor="accent6" w:themeTint="99"/>
        </w:tcBorders>
      </w:tcPr>
    </w:tblStylePr>
    <w:tblStylePr w:type="swCell">
      <w:tblPr/>
      <w:tcPr>
        <w:tcBorders>
          <w:top w:val="single" w:sz="4" w:space="0" w:color="753ACB" w:themeColor="accent6" w:themeTint="99"/>
        </w:tcBorders>
      </w:tcPr>
    </w:tblStylePr>
  </w:style>
  <w:style w:type="table" w:styleId="Grigliatab4">
    <w:name w:val="Grid Table 4"/>
    <w:basedOn w:val="Tabellanormale"/>
    <w:uiPriority w:val="49"/>
    <w:rsid w:val="002B041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2B0416"/>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griglia4-colore2">
    <w:name w:val="Grid Table 4 Accent 2"/>
    <w:basedOn w:val="Tabellanormale"/>
    <w:uiPriority w:val="49"/>
    <w:rsid w:val="002B0416"/>
    <w:tblPr>
      <w:tblStyleRowBandSize w:val="1"/>
      <w:tblStyleColBandSize w:val="1"/>
      <w:tblBorders>
        <w:top w:val="single" w:sz="4" w:space="0" w:color="38EDFF" w:themeColor="accent2" w:themeTint="99"/>
        <w:left w:val="single" w:sz="4" w:space="0" w:color="38EDFF" w:themeColor="accent2" w:themeTint="99"/>
        <w:bottom w:val="single" w:sz="4" w:space="0" w:color="38EDFF" w:themeColor="accent2" w:themeTint="99"/>
        <w:right w:val="single" w:sz="4" w:space="0" w:color="38EDFF" w:themeColor="accent2" w:themeTint="99"/>
        <w:insideH w:val="single" w:sz="4" w:space="0" w:color="38EDFF" w:themeColor="accent2" w:themeTint="99"/>
        <w:insideV w:val="single" w:sz="4" w:space="0" w:color="38EDFF" w:themeColor="accent2" w:themeTint="99"/>
      </w:tblBorders>
    </w:tblPr>
    <w:tblStylePr w:type="firstRow">
      <w:rPr>
        <w:b/>
        <w:bCs/>
        <w:color w:val="FFFFFF" w:themeColor="background1"/>
      </w:rPr>
      <w:tblPr/>
      <w:tcPr>
        <w:tcBorders>
          <w:top w:val="single" w:sz="4" w:space="0" w:color="00A4B3" w:themeColor="accent2"/>
          <w:left w:val="single" w:sz="4" w:space="0" w:color="00A4B3" w:themeColor="accent2"/>
          <w:bottom w:val="single" w:sz="4" w:space="0" w:color="00A4B3" w:themeColor="accent2"/>
          <w:right w:val="single" w:sz="4" w:space="0" w:color="00A4B3" w:themeColor="accent2"/>
          <w:insideH w:val="nil"/>
          <w:insideV w:val="nil"/>
        </w:tcBorders>
        <w:shd w:val="clear" w:color="auto" w:fill="00A4B3" w:themeFill="accent2"/>
      </w:tcPr>
    </w:tblStylePr>
    <w:tblStylePr w:type="lastRow">
      <w:rPr>
        <w:b/>
        <w:bCs/>
      </w:rPr>
      <w:tblPr/>
      <w:tcPr>
        <w:tcBorders>
          <w:top w:val="double" w:sz="4" w:space="0" w:color="00A4B3" w:themeColor="accent2"/>
        </w:tcBorders>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griglia4-colore3">
    <w:name w:val="Grid Table 4 Accent 3"/>
    <w:basedOn w:val="Tabellanormale"/>
    <w:uiPriority w:val="49"/>
    <w:rsid w:val="002B0416"/>
    <w:tblPr>
      <w:tblStyleRowBandSize w:val="1"/>
      <w:tblStyleColBandSize w:val="1"/>
      <w:tblBorders>
        <w:top w:val="single" w:sz="4" w:space="0" w:color="FF9691" w:themeColor="accent3" w:themeTint="99"/>
        <w:left w:val="single" w:sz="4" w:space="0" w:color="FF9691" w:themeColor="accent3" w:themeTint="99"/>
        <w:bottom w:val="single" w:sz="4" w:space="0" w:color="FF9691" w:themeColor="accent3" w:themeTint="99"/>
        <w:right w:val="single" w:sz="4" w:space="0" w:color="FF9691" w:themeColor="accent3" w:themeTint="99"/>
        <w:insideH w:val="single" w:sz="4" w:space="0" w:color="FF9691" w:themeColor="accent3" w:themeTint="99"/>
        <w:insideV w:val="single" w:sz="4" w:space="0" w:color="FF9691" w:themeColor="accent3" w:themeTint="99"/>
      </w:tblBorders>
    </w:tblPr>
    <w:tblStylePr w:type="firstRow">
      <w:rPr>
        <w:b/>
        <w:bCs/>
        <w:color w:val="FFFFFF" w:themeColor="background1"/>
      </w:rPr>
      <w:tblPr/>
      <w:tcPr>
        <w:tcBorders>
          <w:top w:val="single" w:sz="4" w:space="0" w:color="FF5149" w:themeColor="accent3"/>
          <w:left w:val="single" w:sz="4" w:space="0" w:color="FF5149" w:themeColor="accent3"/>
          <w:bottom w:val="single" w:sz="4" w:space="0" w:color="FF5149" w:themeColor="accent3"/>
          <w:right w:val="single" w:sz="4" w:space="0" w:color="FF5149" w:themeColor="accent3"/>
          <w:insideH w:val="nil"/>
          <w:insideV w:val="nil"/>
        </w:tcBorders>
        <w:shd w:val="clear" w:color="auto" w:fill="FF5149" w:themeFill="accent3"/>
      </w:tcPr>
    </w:tblStylePr>
    <w:tblStylePr w:type="lastRow">
      <w:rPr>
        <w:b/>
        <w:bCs/>
      </w:rPr>
      <w:tblPr/>
      <w:tcPr>
        <w:tcBorders>
          <w:top w:val="double" w:sz="4" w:space="0" w:color="FF5149" w:themeColor="accent3"/>
        </w:tcBorders>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griglia4-colore4">
    <w:name w:val="Grid Table 4 Accent 4"/>
    <w:basedOn w:val="Tabellanormale"/>
    <w:uiPriority w:val="49"/>
    <w:rsid w:val="002B0416"/>
    <w:tblPr>
      <w:tblStyleRowBandSize w:val="1"/>
      <w:tblStyleColBandSize w:val="1"/>
      <w:tblBorders>
        <w:top w:val="single" w:sz="4" w:space="0" w:color="FFD98A" w:themeColor="accent4" w:themeTint="99"/>
        <w:left w:val="single" w:sz="4" w:space="0" w:color="FFD98A" w:themeColor="accent4" w:themeTint="99"/>
        <w:bottom w:val="single" w:sz="4" w:space="0" w:color="FFD98A" w:themeColor="accent4" w:themeTint="99"/>
        <w:right w:val="single" w:sz="4" w:space="0" w:color="FFD98A" w:themeColor="accent4" w:themeTint="99"/>
        <w:insideH w:val="single" w:sz="4" w:space="0" w:color="FFD98A" w:themeColor="accent4" w:themeTint="99"/>
        <w:insideV w:val="single" w:sz="4" w:space="0" w:color="FFD98A" w:themeColor="accent4" w:themeTint="99"/>
      </w:tblBorders>
    </w:tblPr>
    <w:tblStylePr w:type="firstRow">
      <w:rPr>
        <w:b/>
        <w:bCs/>
        <w:color w:val="FFFFFF" w:themeColor="background1"/>
      </w:rPr>
      <w:tblPr/>
      <w:tcPr>
        <w:tcBorders>
          <w:top w:val="single" w:sz="4" w:space="0" w:color="FFC23D" w:themeColor="accent4"/>
          <w:left w:val="single" w:sz="4" w:space="0" w:color="FFC23D" w:themeColor="accent4"/>
          <w:bottom w:val="single" w:sz="4" w:space="0" w:color="FFC23D" w:themeColor="accent4"/>
          <w:right w:val="single" w:sz="4" w:space="0" w:color="FFC23D" w:themeColor="accent4"/>
          <w:insideH w:val="nil"/>
          <w:insideV w:val="nil"/>
        </w:tcBorders>
        <w:shd w:val="clear" w:color="auto" w:fill="FFC23D" w:themeFill="accent4"/>
      </w:tcPr>
    </w:tblStylePr>
    <w:tblStylePr w:type="lastRow">
      <w:rPr>
        <w:b/>
        <w:bCs/>
      </w:rPr>
      <w:tblPr/>
      <w:tcPr>
        <w:tcBorders>
          <w:top w:val="double" w:sz="4" w:space="0" w:color="FFC23D" w:themeColor="accent4"/>
        </w:tcBorders>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griglia4-colore5">
    <w:name w:val="Grid Table 4 Accent 5"/>
    <w:basedOn w:val="Tabellanormale"/>
    <w:uiPriority w:val="49"/>
    <w:rsid w:val="002B0416"/>
    <w:tblPr>
      <w:tblStyleRowBandSize w:val="1"/>
      <w:tblStyleColBandSize w:val="1"/>
      <w:tblBorders>
        <w:top w:val="single" w:sz="4" w:space="0" w:color="C5A7FF" w:themeColor="accent5" w:themeTint="99"/>
        <w:left w:val="single" w:sz="4" w:space="0" w:color="C5A7FF" w:themeColor="accent5" w:themeTint="99"/>
        <w:bottom w:val="single" w:sz="4" w:space="0" w:color="C5A7FF" w:themeColor="accent5" w:themeTint="99"/>
        <w:right w:val="single" w:sz="4" w:space="0" w:color="C5A7FF" w:themeColor="accent5" w:themeTint="99"/>
        <w:insideH w:val="single" w:sz="4" w:space="0" w:color="C5A7FF" w:themeColor="accent5" w:themeTint="99"/>
        <w:insideV w:val="single" w:sz="4" w:space="0" w:color="C5A7FF" w:themeColor="accent5" w:themeTint="99"/>
      </w:tblBorders>
    </w:tblPr>
    <w:tblStylePr w:type="firstRow">
      <w:rPr>
        <w:b/>
        <w:bCs/>
        <w:color w:val="FFFFFF" w:themeColor="background1"/>
      </w:rPr>
      <w:tblPr/>
      <w:tcPr>
        <w:tcBorders>
          <w:top w:val="single" w:sz="4" w:space="0" w:color="A06DFF" w:themeColor="accent5"/>
          <w:left w:val="single" w:sz="4" w:space="0" w:color="A06DFF" w:themeColor="accent5"/>
          <w:bottom w:val="single" w:sz="4" w:space="0" w:color="A06DFF" w:themeColor="accent5"/>
          <w:right w:val="single" w:sz="4" w:space="0" w:color="A06DFF" w:themeColor="accent5"/>
          <w:insideH w:val="nil"/>
          <w:insideV w:val="nil"/>
        </w:tcBorders>
        <w:shd w:val="clear" w:color="auto" w:fill="A06DFF" w:themeFill="accent5"/>
      </w:tcPr>
    </w:tblStylePr>
    <w:tblStylePr w:type="lastRow">
      <w:rPr>
        <w:b/>
        <w:bCs/>
      </w:rPr>
      <w:tblPr/>
      <w:tcPr>
        <w:tcBorders>
          <w:top w:val="double" w:sz="4" w:space="0" w:color="A06DFF" w:themeColor="accent5"/>
        </w:tcBorders>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griglia4-colore6">
    <w:name w:val="Grid Table 4 Accent 6"/>
    <w:basedOn w:val="Tabellanormale"/>
    <w:uiPriority w:val="49"/>
    <w:rsid w:val="002B0416"/>
    <w:tblPr>
      <w:tblStyleRowBandSize w:val="1"/>
      <w:tblStyleColBandSize w:val="1"/>
      <w:tblBorders>
        <w:top w:val="single" w:sz="4" w:space="0" w:color="753ACB" w:themeColor="accent6" w:themeTint="99"/>
        <w:left w:val="single" w:sz="4" w:space="0" w:color="753ACB" w:themeColor="accent6" w:themeTint="99"/>
        <w:bottom w:val="single" w:sz="4" w:space="0" w:color="753ACB" w:themeColor="accent6" w:themeTint="99"/>
        <w:right w:val="single" w:sz="4" w:space="0" w:color="753ACB" w:themeColor="accent6" w:themeTint="99"/>
        <w:insideH w:val="single" w:sz="4" w:space="0" w:color="753ACB" w:themeColor="accent6" w:themeTint="99"/>
        <w:insideV w:val="single" w:sz="4" w:space="0" w:color="753ACB" w:themeColor="accent6" w:themeTint="99"/>
      </w:tblBorders>
    </w:tblPr>
    <w:tblStylePr w:type="firstRow">
      <w:rPr>
        <w:b/>
        <w:bCs/>
        <w:color w:val="FFFFFF" w:themeColor="background1"/>
      </w:rPr>
      <w:tblPr/>
      <w:tcPr>
        <w:tcBorders>
          <w:top w:val="single" w:sz="4" w:space="0" w:color="2B144C" w:themeColor="accent6"/>
          <w:left w:val="single" w:sz="4" w:space="0" w:color="2B144C" w:themeColor="accent6"/>
          <w:bottom w:val="single" w:sz="4" w:space="0" w:color="2B144C" w:themeColor="accent6"/>
          <w:right w:val="single" w:sz="4" w:space="0" w:color="2B144C" w:themeColor="accent6"/>
          <w:insideH w:val="nil"/>
          <w:insideV w:val="nil"/>
        </w:tcBorders>
        <w:shd w:val="clear" w:color="auto" w:fill="2B144C" w:themeFill="accent6"/>
      </w:tcPr>
    </w:tblStylePr>
    <w:tblStylePr w:type="lastRow">
      <w:rPr>
        <w:b/>
        <w:bCs/>
      </w:rPr>
      <w:tblPr/>
      <w:tcPr>
        <w:tcBorders>
          <w:top w:val="double" w:sz="4" w:space="0" w:color="2B144C" w:themeColor="accent6"/>
        </w:tcBorders>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Tabellagriglia5scura">
    <w:name w:val="Grid Table 5 Dark"/>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1">
    <w:name w:val="Grid Table 5 Dark Accent 1"/>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Tabellagriglia5scura-colore2">
    <w:name w:val="Grid Table 5 Dark Accent 2"/>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9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4B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4B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4B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4B3" w:themeFill="accent2"/>
      </w:tcPr>
    </w:tblStylePr>
    <w:tblStylePr w:type="band1Vert">
      <w:tblPr/>
      <w:tcPr>
        <w:shd w:val="clear" w:color="auto" w:fill="7AF3FF" w:themeFill="accent2" w:themeFillTint="66"/>
      </w:tcPr>
    </w:tblStylePr>
    <w:tblStylePr w:type="band1Horz">
      <w:tblPr/>
      <w:tcPr>
        <w:shd w:val="clear" w:color="auto" w:fill="7AF3FF" w:themeFill="accent2" w:themeFillTint="66"/>
      </w:tcPr>
    </w:tblStylePr>
  </w:style>
  <w:style w:type="table" w:styleId="Tabellagriglia5scura-colore3">
    <w:name w:val="Grid Table 5 Dark Accent 3"/>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B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514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514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514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5149" w:themeFill="accent3"/>
      </w:tcPr>
    </w:tblStylePr>
    <w:tblStylePr w:type="band1Vert">
      <w:tblPr/>
      <w:tcPr>
        <w:shd w:val="clear" w:color="auto" w:fill="FFB9B6" w:themeFill="accent3" w:themeFillTint="66"/>
      </w:tcPr>
    </w:tblStylePr>
    <w:tblStylePr w:type="band1Horz">
      <w:tblPr/>
      <w:tcPr>
        <w:shd w:val="clear" w:color="auto" w:fill="FFB9B6" w:themeFill="accent3" w:themeFillTint="66"/>
      </w:tcPr>
    </w:tblStylePr>
  </w:style>
  <w:style w:type="table" w:styleId="Tabellagriglia5scura-colore4">
    <w:name w:val="Grid Table 5 Dark Accent 4"/>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D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23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23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23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23D" w:themeFill="accent4"/>
      </w:tcPr>
    </w:tblStylePr>
    <w:tblStylePr w:type="band1Vert">
      <w:tblPr/>
      <w:tcPr>
        <w:shd w:val="clear" w:color="auto" w:fill="FFE6B1" w:themeFill="accent4" w:themeFillTint="66"/>
      </w:tcPr>
    </w:tblStylePr>
    <w:tblStylePr w:type="band1Horz">
      <w:tblPr/>
      <w:tcPr>
        <w:shd w:val="clear" w:color="auto" w:fill="FFE6B1" w:themeFill="accent4" w:themeFillTint="66"/>
      </w:tcPr>
    </w:tblStylePr>
  </w:style>
  <w:style w:type="table" w:styleId="Tabellagriglia5scura-colore5">
    <w:name w:val="Grid Table 5 Dark Accent 5"/>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1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6DFF"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6DFF"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6DFF"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6DFF" w:themeFill="accent5"/>
      </w:tcPr>
    </w:tblStylePr>
    <w:tblStylePr w:type="band1Vert">
      <w:tblPr/>
      <w:tcPr>
        <w:shd w:val="clear" w:color="auto" w:fill="D8C4FF" w:themeFill="accent5" w:themeFillTint="66"/>
      </w:tcPr>
    </w:tblStylePr>
    <w:tblStylePr w:type="band1Horz">
      <w:tblPr/>
      <w:tcPr>
        <w:shd w:val="clear" w:color="auto" w:fill="D8C4FF" w:themeFill="accent5" w:themeFillTint="66"/>
      </w:tcPr>
    </w:tblStylePr>
  </w:style>
  <w:style w:type="table" w:styleId="Tabellagriglia5scura-colore6">
    <w:name w:val="Grid Table 5 Dark Accent 6"/>
    <w:basedOn w:val="Tabellanormale"/>
    <w:uiPriority w:val="50"/>
    <w:rsid w:val="002B04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BDED"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B144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B144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B144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B144C" w:themeFill="accent6"/>
      </w:tcPr>
    </w:tblStylePr>
    <w:tblStylePr w:type="band1Vert">
      <w:tblPr/>
      <w:tcPr>
        <w:shd w:val="clear" w:color="auto" w:fill="A37BDC" w:themeFill="accent6" w:themeFillTint="66"/>
      </w:tcPr>
    </w:tblStylePr>
    <w:tblStylePr w:type="band1Horz">
      <w:tblPr/>
      <w:tcPr>
        <w:shd w:val="clear" w:color="auto" w:fill="A37BDC" w:themeFill="accent6" w:themeFillTint="66"/>
      </w:tcPr>
    </w:tblStylePr>
  </w:style>
  <w:style w:type="table" w:styleId="Tabellagriglia6acolori">
    <w:name w:val="Grid Table 6 Colorful"/>
    <w:basedOn w:val="Tabellanormale"/>
    <w:uiPriority w:val="51"/>
    <w:rsid w:val="002B041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6acolori-colore1">
    <w:name w:val="Grid Table 6 Colorful Accent 1"/>
    <w:basedOn w:val="Tabellanormale"/>
    <w:uiPriority w:val="51"/>
    <w:rsid w:val="002B0416"/>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griglia6acolori-colore2">
    <w:name w:val="Grid Table 6 Colorful Accent 2"/>
    <w:basedOn w:val="Tabellanormale"/>
    <w:uiPriority w:val="51"/>
    <w:rsid w:val="002B0416"/>
    <w:rPr>
      <w:color w:val="007A86" w:themeColor="accent2" w:themeShade="BF"/>
    </w:rPr>
    <w:tblPr>
      <w:tblStyleRowBandSize w:val="1"/>
      <w:tblStyleColBandSize w:val="1"/>
      <w:tblBorders>
        <w:top w:val="single" w:sz="4" w:space="0" w:color="38EDFF" w:themeColor="accent2" w:themeTint="99"/>
        <w:left w:val="single" w:sz="4" w:space="0" w:color="38EDFF" w:themeColor="accent2" w:themeTint="99"/>
        <w:bottom w:val="single" w:sz="4" w:space="0" w:color="38EDFF" w:themeColor="accent2" w:themeTint="99"/>
        <w:right w:val="single" w:sz="4" w:space="0" w:color="38EDFF" w:themeColor="accent2" w:themeTint="99"/>
        <w:insideH w:val="single" w:sz="4" w:space="0" w:color="38EDFF" w:themeColor="accent2" w:themeTint="99"/>
        <w:insideV w:val="single" w:sz="4" w:space="0" w:color="38EDFF" w:themeColor="accent2" w:themeTint="99"/>
      </w:tblBorders>
    </w:tblPr>
    <w:tblStylePr w:type="firstRow">
      <w:rPr>
        <w:b/>
        <w:bCs/>
      </w:rPr>
      <w:tblPr/>
      <w:tcPr>
        <w:tcBorders>
          <w:bottom w:val="single" w:sz="12" w:space="0" w:color="38EDFF" w:themeColor="accent2" w:themeTint="99"/>
        </w:tcBorders>
      </w:tcPr>
    </w:tblStylePr>
    <w:tblStylePr w:type="lastRow">
      <w:rPr>
        <w:b/>
        <w:bCs/>
      </w:rPr>
      <w:tblPr/>
      <w:tcPr>
        <w:tcBorders>
          <w:top w:val="double" w:sz="4" w:space="0" w:color="38EDFF" w:themeColor="accent2" w:themeTint="99"/>
        </w:tcBorders>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griglia6acolori-colore3">
    <w:name w:val="Grid Table 6 Colorful Accent 3"/>
    <w:basedOn w:val="Tabellanormale"/>
    <w:uiPriority w:val="51"/>
    <w:rsid w:val="002B0416"/>
    <w:rPr>
      <w:color w:val="F50A00" w:themeColor="accent3" w:themeShade="BF"/>
    </w:rPr>
    <w:tblPr>
      <w:tblStyleRowBandSize w:val="1"/>
      <w:tblStyleColBandSize w:val="1"/>
      <w:tblBorders>
        <w:top w:val="single" w:sz="4" w:space="0" w:color="FF9691" w:themeColor="accent3" w:themeTint="99"/>
        <w:left w:val="single" w:sz="4" w:space="0" w:color="FF9691" w:themeColor="accent3" w:themeTint="99"/>
        <w:bottom w:val="single" w:sz="4" w:space="0" w:color="FF9691" w:themeColor="accent3" w:themeTint="99"/>
        <w:right w:val="single" w:sz="4" w:space="0" w:color="FF9691" w:themeColor="accent3" w:themeTint="99"/>
        <w:insideH w:val="single" w:sz="4" w:space="0" w:color="FF9691" w:themeColor="accent3" w:themeTint="99"/>
        <w:insideV w:val="single" w:sz="4" w:space="0" w:color="FF9691" w:themeColor="accent3" w:themeTint="99"/>
      </w:tblBorders>
    </w:tblPr>
    <w:tblStylePr w:type="firstRow">
      <w:rPr>
        <w:b/>
        <w:bCs/>
      </w:rPr>
      <w:tblPr/>
      <w:tcPr>
        <w:tcBorders>
          <w:bottom w:val="single" w:sz="12" w:space="0" w:color="FF9691" w:themeColor="accent3" w:themeTint="99"/>
        </w:tcBorders>
      </w:tcPr>
    </w:tblStylePr>
    <w:tblStylePr w:type="lastRow">
      <w:rPr>
        <w:b/>
        <w:bCs/>
      </w:rPr>
      <w:tblPr/>
      <w:tcPr>
        <w:tcBorders>
          <w:top w:val="double" w:sz="4" w:space="0" w:color="FF9691" w:themeColor="accent3" w:themeTint="99"/>
        </w:tcBorders>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griglia6acolori-colore4">
    <w:name w:val="Grid Table 6 Colorful Accent 4"/>
    <w:basedOn w:val="Tabellanormale"/>
    <w:uiPriority w:val="51"/>
    <w:rsid w:val="002B0416"/>
    <w:rPr>
      <w:color w:val="ECA100" w:themeColor="accent4" w:themeShade="BF"/>
    </w:rPr>
    <w:tblPr>
      <w:tblStyleRowBandSize w:val="1"/>
      <w:tblStyleColBandSize w:val="1"/>
      <w:tblBorders>
        <w:top w:val="single" w:sz="4" w:space="0" w:color="FFD98A" w:themeColor="accent4" w:themeTint="99"/>
        <w:left w:val="single" w:sz="4" w:space="0" w:color="FFD98A" w:themeColor="accent4" w:themeTint="99"/>
        <w:bottom w:val="single" w:sz="4" w:space="0" w:color="FFD98A" w:themeColor="accent4" w:themeTint="99"/>
        <w:right w:val="single" w:sz="4" w:space="0" w:color="FFD98A" w:themeColor="accent4" w:themeTint="99"/>
        <w:insideH w:val="single" w:sz="4" w:space="0" w:color="FFD98A" w:themeColor="accent4" w:themeTint="99"/>
        <w:insideV w:val="single" w:sz="4" w:space="0" w:color="FFD98A" w:themeColor="accent4" w:themeTint="99"/>
      </w:tblBorders>
    </w:tblPr>
    <w:tblStylePr w:type="firstRow">
      <w:rPr>
        <w:b/>
        <w:bCs/>
      </w:rPr>
      <w:tblPr/>
      <w:tcPr>
        <w:tcBorders>
          <w:bottom w:val="single" w:sz="12" w:space="0" w:color="FFD98A" w:themeColor="accent4" w:themeTint="99"/>
        </w:tcBorders>
      </w:tcPr>
    </w:tblStylePr>
    <w:tblStylePr w:type="lastRow">
      <w:rPr>
        <w:b/>
        <w:bCs/>
      </w:rPr>
      <w:tblPr/>
      <w:tcPr>
        <w:tcBorders>
          <w:top w:val="double" w:sz="4" w:space="0" w:color="FFD98A" w:themeColor="accent4" w:themeTint="99"/>
        </w:tcBorders>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griglia6acolori-colore5">
    <w:name w:val="Grid Table 6 Colorful Accent 5"/>
    <w:basedOn w:val="Tabellanormale"/>
    <w:uiPriority w:val="51"/>
    <w:rsid w:val="002B0416"/>
    <w:rPr>
      <w:color w:val="6411FF" w:themeColor="accent5" w:themeShade="BF"/>
    </w:rPr>
    <w:tblPr>
      <w:tblStyleRowBandSize w:val="1"/>
      <w:tblStyleColBandSize w:val="1"/>
      <w:tblBorders>
        <w:top w:val="single" w:sz="4" w:space="0" w:color="C5A7FF" w:themeColor="accent5" w:themeTint="99"/>
        <w:left w:val="single" w:sz="4" w:space="0" w:color="C5A7FF" w:themeColor="accent5" w:themeTint="99"/>
        <w:bottom w:val="single" w:sz="4" w:space="0" w:color="C5A7FF" w:themeColor="accent5" w:themeTint="99"/>
        <w:right w:val="single" w:sz="4" w:space="0" w:color="C5A7FF" w:themeColor="accent5" w:themeTint="99"/>
        <w:insideH w:val="single" w:sz="4" w:space="0" w:color="C5A7FF" w:themeColor="accent5" w:themeTint="99"/>
        <w:insideV w:val="single" w:sz="4" w:space="0" w:color="C5A7FF" w:themeColor="accent5" w:themeTint="99"/>
      </w:tblBorders>
    </w:tblPr>
    <w:tblStylePr w:type="firstRow">
      <w:rPr>
        <w:b/>
        <w:bCs/>
      </w:rPr>
      <w:tblPr/>
      <w:tcPr>
        <w:tcBorders>
          <w:bottom w:val="single" w:sz="12" w:space="0" w:color="C5A7FF" w:themeColor="accent5" w:themeTint="99"/>
        </w:tcBorders>
      </w:tcPr>
    </w:tblStylePr>
    <w:tblStylePr w:type="lastRow">
      <w:rPr>
        <w:b/>
        <w:bCs/>
      </w:rPr>
      <w:tblPr/>
      <w:tcPr>
        <w:tcBorders>
          <w:top w:val="double" w:sz="4" w:space="0" w:color="C5A7FF" w:themeColor="accent5" w:themeTint="99"/>
        </w:tcBorders>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griglia6acolori-colore6">
    <w:name w:val="Grid Table 6 Colorful Accent 6"/>
    <w:basedOn w:val="Tabellanormale"/>
    <w:uiPriority w:val="51"/>
    <w:rsid w:val="002B0416"/>
    <w:rPr>
      <w:color w:val="1F0F38" w:themeColor="accent6" w:themeShade="BF"/>
    </w:rPr>
    <w:tblPr>
      <w:tblStyleRowBandSize w:val="1"/>
      <w:tblStyleColBandSize w:val="1"/>
      <w:tblBorders>
        <w:top w:val="single" w:sz="4" w:space="0" w:color="753ACB" w:themeColor="accent6" w:themeTint="99"/>
        <w:left w:val="single" w:sz="4" w:space="0" w:color="753ACB" w:themeColor="accent6" w:themeTint="99"/>
        <w:bottom w:val="single" w:sz="4" w:space="0" w:color="753ACB" w:themeColor="accent6" w:themeTint="99"/>
        <w:right w:val="single" w:sz="4" w:space="0" w:color="753ACB" w:themeColor="accent6" w:themeTint="99"/>
        <w:insideH w:val="single" w:sz="4" w:space="0" w:color="753ACB" w:themeColor="accent6" w:themeTint="99"/>
        <w:insideV w:val="single" w:sz="4" w:space="0" w:color="753ACB" w:themeColor="accent6" w:themeTint="99"/>
      </w:tblBorders>
    </w:tblPr>
    <w:tblStylePr w:type="firstRow">
      <w:rPr>
        <w:b/>
        <w:bCs/>
      </w:rPr>
      <w:tblPr/>
      <w:tcPr>
        <w:tcBorders>
          <w:bottom w:val="single" w:sz="12" w:space="0" w:color="753ACB" w:themeColor="accent6" w:themeTint="99"/>
        </w:tcBorders>
      </w:tcPr>
    </w:tblStylePr>
    <w:tblStylePr w:type="lastRow">
      <w:rPr>
        <w:b/>
        <w:bCs/>
      </w:rPr>
      <w:tblPr/>
      <w:tcPr>
        <w:tcBorders>
          <w:top w:val="double" w:sz="4" w:space="0" w:color="753ACB" w:themeColor="accent6" w:themeTint="99"/>
        </w:tcBorders>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Tabellagriglia7acolori">
    <w:name w:val="Grid Table 7 Colorful"/>
    <w:basedOn w:val="Tabellanormale"/>
    <w:uiPriority w:val="52"/>
    <w:rsid w:val="002B041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7acolori-colore1">
    <w:name w:val="Grid Table 7 Colorful Accent 1"/>
    <w:basedOn w:val="Tabellanormale"/>
    <w:uiPriority w:val="52"/>
    <w:rsid w:val="002B0416"/>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Tabellagriglia7acolori-colore2">
    <w:name w:val="Grid Table 7 Colorful Accent 2"/>
    <w:basedOn w:val="Tabellanormale"/>
    <w:uiPriority w:val="52"/>
    <w:rsid w:val="002B0416"/>
    <w:rPr>
      <w:color w:val="007A86" w:themeColor="accent2" w:themeShade="BF"/>
    </w:rPr>
    <w:tblPr>
      <w:tblStyleRowBandSize w:val="1"/>
      <w:tblStyleColBandSize w:val="1"/>
      <w:tblBorders>
        <w:top w:val="single" w:sz="4" w:space="0" w:color="38EDFF" w:themeColor="accent2" w:themeTint="99"/>
        <w:left w:val="single" w:sz="4" w:space="0" w:color="38EDFF" w:themeColor="accent2" w:themeTint="99"/>
        <w:bottom w:val="single" w:sz="4" w:space="0" w:color="38EDFF" w:themeColor="accent2" w:themeTint="99"/>
        <w:right w:val="single" w:sz="4" w:space="0" w:color="38EDFF" w:themeColor="accent2" w:themeTint="99"/>
        <w:insideH w:val="single" w:sz="4" w:space="0" w:color="38EDFF" w:themeColor="accent2" w:themeTint="99"/>
        <w:insideV w:val="single" w:sz="4" w:space="0" w:color="38ED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9FF" w:themeFill="accent2" w:themeFillTint="33"/>
      </w:tcPr>
    </w:tblStylePr>
    <w:tblStylePr w:type="band1Horz">
      <w:tblPr/>
      <w:tcPr>
        <w:shd w:val="clear" w:color="auto" w:fill="BCF9FF" w:themeFill="accent2" w:themeFillTint="33"/>
      </w:tcPr>
    </w:tblStylePr>
    <w:tblStylePr w:type="neCell">
      <w:tblPr/>
      <w:tcPr>
        <w:tcBorders>
          <w:bottom w:val="single" w:sz="4" w:space="0" w:color="38EDFF" w:themeColor="accent2" w:themeTint="99"/>
        </w:tcBorders>
      </w:tcPr>
    </w:tblStylePr>
    <w:tblStylePr w:type="nwCell">
      <w:tblPr/>
      <w:tcPr>
        <w:tcBorders>
          <w:bottom w:val="single" w:sz="4" w:space="0" w:color="38EDFF" w:themeColor="accent2" w:themeTint="99"/>
        </w:tcBorders>
      </w:tcPr>
    </w:tblStylePr>
    <w:tblStylePr w:type="seCell">
      <w:tblPr/>
      <w:tcPr>
        <w:tcBorders>
          <w:top w:val="single" w:sz="4" w:space="0" w:color="38EDFF" w:themeColor="accent2" w:themeTint="99"/>
        </w:tcBorders>
      </w:tcPr>
    </w:tblStylePr>
    <w:tblStylePr w:type="swCell">
      <w:tblPr/>
      <w:tcPr>
        <w:tcBorders>
          <w:top w:val="single" w:sz="4" w:space="0" w:color="38EDFF" w:themeColor="accent2" w:themeTint="99"/>
        </w:tcBorders>
      </w:tcPr>
    </w:tblStylePr>
  </w:style>
  <w:style w:type="table" w:styleId="Tabellagriglia7acolori-colore3">
    <w:name w:val="Grid Table 7 Colorful Accent 3"/>
    <w:basedOn w:val="Tabellanormale"/>
    <w:uiPriority w:val="52"/>
    <w:rsid w:val="002B0416"/>
    <w:rPr>
      <w:color w:val="F50A00" w:themeColor="accent3" w:themeShade="BF"/>
    </w:rPr>
    <w:tblPr>
      <w:tblStyleRowBandSize w:val="1"/>
      <w:tblStyleColBandSize w:val="1"/>
      <w:tblBorders>
        <w:top w:val="single" w:sz="4" w:space="0" w:color="FF9691" w:themeColor="accent3" w:themeTint="99"/>
        <w:left w:val="single" w:sz="4" w:space="0" w:color="FF9691" w:themeColor="accent3" w:themeTint="99"/>
        <w:bottom w:val="single" w:sz="4" w:space="0" w:color="FF9691" w:themeColor="accent3" w:themeTint="99"/>
        <w:right w:val="single" w:sz="4" w:space="0" w:color="FF9691" w:themeColor="accent3" w:themeTint="99"/>
        <w:insideH w:val="single" w:sz="4" w:space="0" w:color="FF9691" w:themeColor="accent3" w:themeTint="99"/>
        <w:insideV w:val="single" w:sz="4" w:space="0" w:color="FF969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BDA" w:themeFill="accent3" w:themeFillTint="33"/>
      </w:tcPr>
    </w:tblStylePr>
    <w:tblStylePr w:type="band1Horz">
      <w:tblPr/>
      <w:tcPr>
        <w:shd w:val="clear" w:color="auto" w:fill="FFDBDA" w:themeFill="accent3" w:themeFillTint="33"/>
      </w:tcPr>
    </w:tblStylePr>
    <w:tblStylePr w:type="neCell">
      <w:tblPr/>
      <w:tcPr>
        <w:tcBorders>
          <w:bottom w:val="single" w:sz="4" w:space="0" w:color="FF9691" w:themeColor="accent3" w:themeTint="99"/>
        </w:tcBorders>
      </w:tcPr>
    </w:tblStylePr>
    <w:tblStylePr w:type="nwCell">
      <w:tblPr/>
      <w:tcPr>
        <w:tcBorders>
          <w:bottom w:val="single" w:sz="4" w:space="0" w:color="FF9691" w:themeColor="accent3" w:themeTint="99"/>
        </w:tcBorders>
      </w:tcPr>
    </w:tblStylePr>
    <w:tblStylePr w:type="seCell">
      <w:tblPr/>
      <w:tcPr>
        <w:tcBorders>
          <w:top w:val="single" w:sz="4" w:space="0" w:color="FF9691" w:themeColor="accent3" w:themeTint="99"/>
        </w:tcBorders>
      </w:tcPr>
    </w:tblStylePr>
    <w:tblStylePr w:type="swCell">
      <w:tblPr/>
      <w:tcPr>
        <w:tcBorders>
          <w:top w:val="single" w:sz="4" w:space="0" w:color="FF9691" w:themeColor="accent3" w:themeTint="99"/>
        </w:tcBorders>
      </w:tcPr>
    </w:tblStylePr>
  </w:style>
  <w:style w:type="table" w:styleId="Tabellagriglia7acolori-colore4">
    <w:name w:val="Grid Table 7 Colorful Accent 4"/>
    <w:basedOn w:val="Tabellanormale"/>
    <w:uiPriority w:val="52"/>
    <w:rsid w:val="002B0416"/>
    <w:rPr>
      <w:color w:val="ECA100" w:themeColor="accent4" w:themeShade="BF"/>
    </w:rPr>
    <w:tblPr>
      <w:tblStyleRowBandSize w:val="1"/>
      <w:tblStyleColBandSize w:val="1"/>
      <w:tblBorders>
        <w:top w:val="single" w:sz="4" w:space="0" w:color="FFD98A" w:themeColor="accent4" w:themeTint="99"/>
        <w:left w:val="single" w:sz="4" w:space="0" w:color="FFD98A" w:themeColor="accent4" w:themeTint="99"/>
        <w:bottom w:val="single" w:sz="4" w:space="0" w:color="FFD98A" w:themeColor="accent4" w:themeTint="99"/>
        <w:right w:val="single" w:sz="4" w:space="0" w:color="FFD98A" w:themeColor="accent4" w:themeTint="99"/>
        <w:insideH w:val="single" w:sz="4" w:space="0" w:color="FFD98A" w:themeColor="accent4" w:themeTint="99"/>
        <w:insideV w:val="single" w:sz="4" w:space="0" w:color="FFD98A"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D8" w:themeFill="accent4" w:themeFillTint="33"/>
      </w:tcPr>
    </w:tblStylePr>
    <w:tblStylePr w:type="band1Horz">
      <w:tblPr/>
      <w:tcPr>
        <w:shd w:val="clear" w:color="auto" w:fill="FFF2D8" w:themeFill="accent4" w:themeFillTint="33"/>
      </w:tcPr>
    </w:tblStylePr>
    <w:tblStylePr w:type="neCell">
      <w:tblPr/>
      <w:tcPr>
        <w:tcBorders>
          <w:bottom w:val="single" w:sz="4" w:space="0" w:color="FFD98A" w:themeColor="accent4" w:themeTint="99"/>
        </w:tcBorders>
      </w:tcPr>
    </w:tblStylePr>
    <w:tblStylePr w:type="nwCell">
      <w:tblPr/>
      <w:tcPr>
        <w:tcBorders>
          <w:bottom w:val="single" w:sz="4" w:space="0" w:color="FFD98A" w:themeColor="accent4" w:themeTint="99"/>
        </w:tcBorders>
      </w:tcPr>
    </w:tblStylePr>
    <w:tblStylePr w:type="seCell">
      <w:tblPr/>
      <w:tcPr>
        <w:tcBorders>
          <w:top w:val="single" w:sz="4" w:space="0" w:color="FFD98A" w:themeColor="accent4" w:themeTint="99"/>
        </w:tcBorders>
      </w:tcPr>
    </w:tblStylePr>
    <w:tblStylePr w:type="swCell">
      <w:tblPr/>
      <w:tcPr>
        <w:tcBorders>
          <w:top w:val="single" w:sz="4" w:space="0" w:color="FFD98A" w:themeColor="accent4" w:themeTint="99"/>
        </w:tcBorders>
      </w:tcPr>
    </w:tblStylePr>
  </w:style>
  <w:style w:type="table" w:styleId="Tabellagriglia7acolori-colore5">
    <w:name w:val="Grid Table 7 Colorful Accent 5"/>
    <w:basedOn w:val="Tabellanormale"/>
    <w:uiPriority w:val="52"/>
    <w:rsid w:val="002B0416"/>
    <w:rPr>
      <w:color w:val="6411FF" w:themeColor="accent5" w:themeShade="BF"/>
    </w:rPr>
    <w:tblPr>
      <w:tblStyleRowBandSize w:val="1"/>
      <w:tblStyleColBandSize w:val="1"/>
      <w:tblBorders>
        <w:top w:val="single" w:sz="4" w:space="0" w:color="C5A7FF" w:themeColor="accent5" w:themeTint="99"/>
        <w:left w:val="single" w:sz="4" w:space="0" w:color="C5A7FF" w:themeColor="accent5" w:themeTint="99"/>
        <w:bottom w:val="single" w:sz="4" w:space="0" w:color="C5A7FF" w:themeColor="accent5" w:themeTint="99"/>
        <w:right w:val="single" w:sz="4" w:space="0" w:color="C5A7FF" w:themeColor="accent5" w:themeTint="99"/>
        <w:insideH w:val="single" w:sz="4" w:space="0" w:color="C5A7FF" w:themeColor="accent5" w:themeTint="99"/>
        <w:insideV w:val="single" w:sz="4" w:space="0" w:color="C5A7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1FF" w:themeFill="accent5" w:themeFillTint="33"/>
      </w:tcPr>
    </w:tblStylePr>
    <w:tblStylePr w:type="band1Horz">
      <w:tblPr/>
      <w:tcPr>
        <w:shd w:val="clear" w:color="auto" w:fill="EBE1FF" w:themeFill="accent5" w:themeFillTint="33"/>
      </w:tcPr>
    </w:tblStylePr>
    <w:tblStylePr w:type="neCell">
      <w:tblPr/>
      <w:tcPr>
        <w:tcBorders>
          <w:bottom w:val="single" w:sz="4" w:space="0" w:color="C5A7FF" w:themeColor="accent5" w:themeTint="99"/>
        </w:tcBorders>
      </w:tcPr>
    </w:tblStylePr>
    <w:tblStylePr w:type="nwCell">
      <w:tblPr/>
      <w:tcPr>
        <w:tcBorders>
          <w:bottom w:val="single" w:sz="4" w:space="0" w:color="C5A7FF" w:themeColor="accent5" w:themeTint="99"/>
        </w:tcBorders>
      </w:tcPr>
    </w:tblStylePr>
    <w:tblStylePr w:type="seCell">
      <w:tblPr/>
      <w:tcPr>
        <w:tcBorders>
          <w:top w:val="single" w:sz="4" w:space="0" w:color="C5A7FF" w:themeColor="accent5" w:themeTint="99"/>
        </w:tcBorders>
      </w:tcPr>
    </w:tblStylePr>
    <w:tblStylePr w:type="swCell">
      <w:tblPr/>
      <w:tcPr>
        <w:tcBorders>
          <w:top w:val="single" w:sz="4" w:space="0" w:color="C5A7FF" w:themeColor="accent5" w:themeTint="99"/>
        </w:tcBorders>
      </w:tcPr>
    </w:tblStylePr>
  </w:style>
  <w:style w:type="table" w:styleId="Tabellagriglia7acolori-colore6">
    <w:name w:val="Grid Table 7 Colorful Accent 6"/>
    <w:basedOn w:val="Tabellanormale"/>
    <w:uiPriority w:val="52"/>
    <w:rsid w:val="002B0416"/>
    <w:rPr>
      <w:color w:val="1F0F38" w:themeColor="accent6" w:themeShade="BF"/>
    </w:rPr>
    <w:tblPr>
      <w:tblStyleRowBandSize w:val="1"/>
      <w:tblStyleColBandSize w:val="1"/>
      <w:tblBorders>
        <w:top w:val="single" w:sz="4" w:space="0" w:color="753ACB" w:themeColor="accent6" w:themeTint="99"/>
        <w:left w:val="single" w:sz="4" w:space="0" w:color="753ACB" w:themeColor="accent6" w:themeTint="99"/>
        <w:bottom w:val="single" w:sz="4" w:space="0" w:color="753ACB" w:themeColor="accent6" w:themeTint="99"/>
        <w:right w:val="single" w:sz="4" w:space="0" w:color="753ACB" w:themeColor="accent6" w:themeTint="99"/>
        <w:insideH w:val="single" w:sz="4" w:space="0" w:color="753ACB" w:themeColor="accent6" w:themeTint="99"/>
        <w:insideV w:val="single" w:sz="4" w:space="0" w:color="753AC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BDED" w:themeFill="accent6" w:themeFillTint="33"/>
      </w:tcPr>
    </w:tblStylePr>
    <w:tblStylePr w:type="band1Horz">
      <w:tblPr/>
      <w:tcPr>
        <w:shd w:val="clear" w:color="auto" w:fill="D1BDED" w:themeFill="accent6" w:themeFillTint="33"/>
      </w:tcPr>
    </w:tblStylePr>
    <w:tblStylePr w:type="neCell">
      <w:tblPr/>
      <w:tcPr>
        <w:tcBorders>
          <w:bottom w:val="single" w:sz="4" w:space="0" w:color="753ACB" w:themeColor="accent6" w:themeTint="99"/>
        </w:tcBorders>
      </w:tcPr>
    </w:tblStylePr>
    <w:tblStylePr w:type="nwCell">
      <w:tblPr/>
      <w:tcPr>
        <w:tcBorders>
          <w:bottom w:val="single" w:sz="4" w:space="0" w:color="753ACB" w:themeColor="accent6" w:themeTint="99"/>
        </w:tcBorders>
      </w:tcPr>
    </w:tblStylePr>
    <w:tblStylePr w:type="seCell">
      <w:tblPr/>
      <w:tcPr>
        <w:tcBorders>
          <w:top w:val="single" w:sz="4" w:space="0" w:color="753ACB" w:themeColor="accent6" w:themeTint="99"/>
        </w:tcBorders>
      </w:tcPr>
    </w:tblStylePr>
    <w:tblStylePr w:type="swCell">
      <w:tblPr/>
      <w:tcPr>
        <w:tcBorders>
          <w:top w:val="single" w:sz="4" w:space="0" w:color="753ACB" w:themeColor="accent6" w:themeTint="99"/>
        </w:tcBorders>
      </w:tcPr>
    </w:tblStylePr>
  </w:style>
  <w:style w:type="character" w:styleId="Hashtag">
    <w:name w:val="Hashtag"/>
    <w:basedOn w:val="Carpredefinitoparagrafo"/>
    <w:uiPriority w:val="99"/>
    <w:semiHidden/>
    <w:unhideWhenUsed/>
    <w:rsid w:val="002B0416"/>
    <w:rPr>
      <w:color w:val="2B579A"/>
      <w:shd w:val="clear" w:color="auto" w:fill="E1DFDD"/>
    </w:rPr>
  </w:style>
  <w:style w:type="table" w:styleId="Grigliachiara">
    <w:name w:val="Light Grid"/>
    <w:basedOn w:val="Tabellanormale"/>
    <w:uiPriority w:val="62"/>
    <w:semiHidden/>
    <w:unhideWhenUsed/>
    <w:rsid w:val="002B041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semiHidden/>
    <w:unhideWhenUsed/>
    <w:rsid w:val="002B0416"/>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Grigliachiara-Colore2">
    <w:name w:val="Light Grid Accent 2"/>
    <w:basedOn w:val="Tabellanormale"/>
    <w:uiPriority w:val="62"/>
    <w:semiHidden/>
    <w:unhideWhenUsed/>
    <w:rsid w:val="002B0416"/>
    <w:tblPr>
      <w:tblStyleRowBandSize w:val="1"/>
      <w:tblStyleColBandSize w:val="1"/>
      <w:tblBorders>
        <w:top w:val="single" w:sz="8" w:space="0" w:color="00A4B3" w:themeColor="accent2"/>
        <w:left w:val="single" w:sz="8" w:space="0" w:color="00A4B3" w:themeColor="accent2"/>
        <w:bottom w:val="single" w:sz="8" w:space="0" w:color="00A4B3" w:themeColor="accent2"/>
        <w:right w:val="single" w:sz="8" w:space="0" w:color="00A4B3" w:themeColor="accent2"/>
        <w:insideH w:val="single" w:sz="8" w:space="0" w:color="00A4B3" w:themeColor="accent2"/>
        <w:insideV w:val="single" w:sz="8" w:space="0" w:color="00A4B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4B3" w:themeColor="accent2"/>
          <w:left w:val="single" w:sz="8" w:space="0" w:color="00A4B3" w:themeColor="accent2"/>
          <w:bottom w:val="single" w:sz="18" w:space="0" w:color="00A4B3" w:themeColor="accent2"/>
          <w:right w:val="single" w:sz="8" w:space="0" w:color="00A4B3" w:themeColor="accent2"/>
          <w:insideH w:val="nil"/>
          <w:insideV w:val="single" w:sz="8" w:space="0" w:color="00A4B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4B3" w:themeColor="accent2"/>
          <w:left w:val="single" w:sz="8" w:space="0" w:color="00A4B3" w:themeColor="accent2"/>
          <w:bottom w:val="single" w:sz="8" w:space="0" w:color="00A4B3" w:themeColor="accent2"/>
          <w:right w:val="single" w:sz="8" w:space="0" w:color="00A4B3" w:themeColor="accent2"/>
          <w:insideH w:val="nil"/>
          <w:insideV w:val="single" w:sz="8" w:space="0" w:color="00A4B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4B3" w:themeColor="accent2"/>
          <w:left w:val="single" w:sz="8" w:space="0" w:color="00A4B3" w:themeColor="accent2"/>
          <w:bottom w:val="single" w:sz="8" w:space="0" w:color="00A4B3" w:themeColor="accent2"/>
          <w:right w:val="single" w:sz="8" w:space="0" w:color="00A4B3" w:themeColor="accent2"/>
        </w:tcBorders>
      </w:tcPr>
    </w:tblStylePr>
    <w:tblStylePr w:type="band1Vert">
      <w:tblPr/>
      <w:tcPr>
        <w:tcBorders>
          <w:top w:val="single" w:sz="8" w:space="0" w:color="00A4B3" w:themeColor="accent2"/>
          <w:left w:val="single" w:sz="8" w:space="0" w:color="00A4B3" w:themeColor="accent2"/>
          <w:bottom w:val="single" w:sz="8" w:space="0" w:color="00A4B3" w:themeColor="accent2"/>
          <w:right w:val="single" w:sz="8" w:space="0" w:color="00A4B3" w:themeColor="accent2"/>
        </w:tcBorders>
        <w:shd w:val="clear" w:color="auto" w:fill="ADF7FF" w:themeFill="accent2" w:themeFillTint="3F"/>
      </w:tcPr>
    </w:tblStylePr>
    <w:tblStylePr w:type="band1Horz">
      <w:tblPr/>
      <w:tcPr>
        <w:tcBorders>
          <w:top w:val="single" w:sz="8" w:space="0" w:color="00A4B3" w:themeColor="accent2"/>
          <w:left w:val="single" w:sz="8" w:space="0" w:color="00A4B3" w:themeColor="accent2"/>
          <w:bottom w:val="single" w:sz="8" w:space="0" w:color="00A4B3" w:themeColor="accent2"/>
          <w:right w:val="single" w:sz="8" w:space="0" w:color="00A4B3" w:themeColor="accent2"/>
          <w:insideV w:val="single" w:sz="8" w:space="0" w:color="00A4B3" w:themeColor="accent2"/>
        </w:tcBorders>
        <w:shd w:val="clear" w:color="auto" w:fill="ADF7FF" w:themeFill="accent2" w:themeFillTint="3F"/>
      </w:tcPr>
    </w:tblStylePr>
    <w:tblStylePr w:type="band2Horz">
      <w:tblPr/>
      <w:tcPr>
        <w:tcBorders>
          <w:top w:val="single" w:sz="8" w:space="0" w:color="00A4B3" w:themeColor="accent2"/>
          <w:left w:val="single" w:sz="8" w:space="0" w:color="00A4B3" w:themeColor="accent2"/>
          <w:bottom w:val="single" w:sz="8" w:space="0" w:color="00A4B3" w:themeColor="accent2"/>
          <w:right w:val="single" w:sz="8" w:space="0" w:color="00A4B3" w:themeColor="accent2"/>
          <w:insideV w:val="single" w:sz="8" w:space="0" w:color="00A4B3" w:themeColor="accent2"/>
        </w:tcBorders>
      </w:tcPr>
    </w:tblStylePr>
  </w:style>
  <w:style w:type="table" w:styleId="Grigliachiara-Colore3">
    <w:name w:val="Light Grid Accent 3"/>
    <w:basedOn w:val="Tabellanormale"/>
    <w:uiPriority w:val="62"/>
    <w:semiHidden/>
    <w:unhideWhenUsed/>
    <w:rsid w:val="002B0416"/>
    <w:tblPr>
      <w:tblStyleRowBandSize w:val="1"/>
      <w:tblStyleColBandSize w:val="1"/>
      <w:tblBorders>
        <w:top w:val="single" w:sz="8" w:space="0" w:color="FF5149" w:themeColor="accent3"/>
        <w:left w:val="single" w:sz="8" w:space="0" w:color="FF5149" w:themeColor="accent3"/>
        <w:bottom w:val="single" w:sz="8" w:space="0" w:color="FF5149" w:themeColor="accent3"/>
        <w:right w:val="single" w:sz="8" w:space="0" w:color="FF5149" w:themeColor="accent3"/>
        <w:insideH w:val="single" w:sz="8" w:space="0" w:color="FF5149" w:themeColor="accent3"/>
        <w:insideV w:val="single" w:sz="8" w:space="0" w:color="FF514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149" w:themeColor="accent3"/>
          <w:left w:val="single" w:sz="8" w:space="0" w:color="FF5149" w:themeColor="accent3"/>
          <w:bottom w:val="single" w:sz="18" w:space="0" w:color="FF5149" w:themeColor="accent3"/>
          <w:right w:val="single" w:sz="8" w:space="0" w:color="FF5149" w:themeColor="accent3"/>
          <w:insideH w:val="nil"/>
          <w:insideV w:val="single" w:sz="8" w:space="0" w:color="FF514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149" w:themeColor="accent3"/>
          <w:left w:val="single" w:sz="8" w:space="0" w:color="FF5149" w:themeColor="accent3"/>
          <w:bottom w:val="single" w:sz="8" w:space="0" w:color="FF5149" w:themeColor="accent3"/>
          <w:right w:val="single" w:sz="8" w:space="0" w:color="FF5149" w:themeColor="accent3"/>
          <w:insideH w:val="nil"/>
          <w:insideV w:val="single" w:sz="8" w:space="0" w:color="FF514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149" w:themeColor="accent3"/>
          <w:left w:val="single" w:sz="8" w:space="0" w:color="FF5149" w:themeColor="accent3"/>
          <w:bottom w:val="single" w:sz="8" w:space="0" w:color="FF5149" w:themeColor="accent3"/>
          <w:right w:val="single" w:sz="8" w:space="0" w:color="FF5149" w:themeColor="accent3"/>
        </w:tcBorders>
      </w:tcPr>
    </w:tblStylePr>
    <w:tblStylePr w:type="band1Vert">
      <w:tblPr/>
      <w:tcPr>
        <w:tcBorders>
          <w:top w:val="single" w:sz="8" w:space="0" w:color="FF5149" w:themeColor="accent3"/>
          <w:left w:val="single" w:sz="8" w:space="0" w:color="FF5149" w:themeColor="accent3"/>
          <w:bottom w:val="single" w:sz="8" w:space="0" w:color="FF5149" w:themeColor="accent3"/>
          <w:right w:val="single" w:sz="8" w:space="0" w:color="FF5149" w:themeColor="accent3"/>
        </w:tcBorders>
        <w:shd w:val="clear" w:color="auto" w:fill="FFD3D2" w:themeFill="accent3" w:themeFillTint="3F"/>
      </w:tcPr>
    </w:tblStylePr>
    <w:tblStylePr w:type="band1Horz">
      <w:tblPr/>
      <w:tcPr>
        <w:tcBorders>
          <w:top w:val="single" w:sz="8" w:space="0" w:color="FF5149" w:themeColor="accent3"/>
          <w:left w:val="single" w:sz="8" w:space="0" w:color="FF5149" w:themeColor="accent3"/>
          <w:bottom w:val="single" w:sz="8" w:space="0" w:color="FF5149" w:themeColor="accent3"/>
          <w:right w:val="single" w:sz="8" w:space="0" w:color="FF5149" w:themeColor="accent3"/>
          <w:insideV w:val="single" w:sz="8" w:space="0" w:color="FF5149" w:themeColor="accent3"/>
        </w:tcBorders>
        <w:shd w:val="clear" w:color="auto" w:fill="FFD3D2" w:themeFill="accent3" w:themeFillTint="3F"/>
      </w:tcPr>
    </w:tblStylePr>
    <w:tblStylePr w:type="band2Horz">
      <w:tblPr/>
      <w:tcPr>
        <w:tcBorders>
          <w:top w:val="single" w:sz="8" w:space="0" w:color="FF5149" w:themeColor="accent3"/>
          <w:left w:val="single" w:sz="8" w:space="0" w:color="FF5149" w:themeColor="accent3"/>
          <w:bottom w:val="single" w:sz="8" w:space="0" w:color="FF5149" w:themeColor="accent3"/>
          <w:right w:val="single" w:sz="8" w:space="0" w:color="FF5149" w:themeColor="accent3"/>
          <w:insideV w:val="single" w:sz="8" w:space="0" w:color="FF5149" w:themeColor="accent3"/>
        </w:tcBorders>
      </w:tcPr>
    </w:tblStylePr>
  </w:style>
  <w:style w:type="table" w:styleId="Grigliachiara-Colore4">
    <w:name w:val="Light Grid Accent 4"/>
    <w:basedOn w:val="Tabellanormale"/>
    <w:uiPriority w:val="62"/>
    <w:semiHidden/>
    <w:unhideWhenUsed/>
    <w:rsid w:val="002B0416"/>
    <w:tblPr>
      <w:tblStyleRowBandSize w:val="1"/>
      <w:tblStyleColBandSize w:val="1"/>
      <w:tblBorders>
        <w:top w:val="single" w:sz="8" w:space="0" w:color="FFC23D" w:themeColor="accent4"/>
        <w:left w:val="single" w:sz="8" w:space="0" w:color="FFC23D" w:themeColor="accent4"/>
        <w:bottom w:val="single" w:sz="8" w:space="0" w:color="FFC23D" w:themeColor="accent4"/>
        <w:right w:val="single" w:sz="8" w:space="0" w:color="FFC23D" w:themeColor="accent4"/>
        <w:insideH w:val="single" w:sz="8" w:space="0" w:color="FFC23D" w:themeColor="accent4"/>
        <w:insideV w:val="single" w:sz="8" w:space="0" w:color="FFC23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23D" w:themeColor="accent4"/>
          <w:left w:val="single" w:sz="8" w:space="0" w:color="FFC23D" w:themeColor="accent4"/>
          <w:bottom w:val="single" w:sz="18" w:space="0" w:color="FFC23D" w:themeColor="accent4"/>
          <w:right w:val="single" w:sz="8" w:space="0" w:color="FFC23D" w:themeColor="accent4"/>
          <w:insideH w:val="nil"/>
          <w:insideV w:val="single" w:sz="8" w:space="0" w:color="FFC23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23D" w:themeColor="accent4"/>
          <w:left w:val="single" w:sz="8" w:space="0" w:color="FFC23D" w:themeColor="accent4"/>
          <w:bottom w:val="single" w:sz="8" w:space="0" w:color="FFC23D" w:themeColor="accent4"/>
          <w:right w:val="single" w:sz="8" w:space="0" w:color="FFC23D" w:themeColor="accent4"/>
          <w:insideH w:val="nil"/>
          <w:insideV w:val="single" w:sz="8" w:space="0" w:color="FFC23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23D" w:themeColor="accent4"/>
          <w:left w:val="single" w:sz="8" w:space="0" w:color="FFC23D" w:themeColor="accent4"/>
          <w:bottom w:val="single" w:sz="8" w:space="0" w:color="FFC23D" w:themeColor="accent4"/>
          <w:right w:val="single" w:sz="8" w:space="0" w:color="FFC23D" w:themeColor="accent4"/>
        </w:tcBorders>
      </w:tcPr>
    </w:tblStylePr>
    <w:tblStylePr w:type="band1Vert">
      <w:tblPr/>
      <w:tcPr>
        <w:tcBorders>
          <w:top w:val="single" w:sz="8" w:space="0" w:color="FFC23D" w:themeColor="accent4"/>
          <w:left w:val="single" w:sz="8" w:space="0" w:color="FFC23D" w:themeColor="accent4"/>
          <w:bottom w:val="single" w:sz="8" w:space="0" w:color="FFC23D" w:themeColor="accent4"/>
          <w:right w:val="single" w:sz="8" w:space="0" w:color="FFC23D" w:themeColor="accent4"/>
        </w:tcBorders>
        <w:shd w:val="clear" w:color="auto" w:fill="FFEFCF" w:themeFill="accent4" w:themeFillTint="3F"/>
      </w:tcPr>
    </w:tblStylePr>
    <w:tblStylePr w:type="band1Horz">
      <w:tblPr/>
      <w:tcPr>
        <w:tcBorders>
          <w:top w:val="single" w:sz="8" w:space="0" w:color="FFC23D" w:themeColor="accent4"/>
          <w:left w:val="single" w:sz="8" w:space="0" w:color="FFC23D" w:themeColor="accent4"/>
          <w:bottom w:val="single" w:sz="8" w:space="0" w:color="FFC23D" w:themeColor="accent4"/>
          <w:right w:val="single" w:sz="8" w:space="0" w:color="FFC23D" w:themeColor="accent4"/>
          <w:insideV w:val="single" w:sz="8" w:space="0" w:color="FFC23D" w:themeColor="accent4"/>
        </w:tcBorders>
        <w:shd w:val="clear" w:color="auto" w:fill="FFEFCF" w:themeFill="accent4" w:themeFillTint="3F"/>
      </w:tcPr>
    </w:tblStylePr>
    <w:tblStylePr w:type="band2Horz">
      <w:tblPr/>
      <w:tcPr>
        <w:tcBorders>
          <w:top w:val="single" w:sz="8" w:space="0" w:color="FFC23D" w:themeColor="accent4"/>
          <w:left w:val="single" w:sz="8" w:space="0" w:color="FFC23D" w:themeColor="accent4"/>
          <w:bottom w:val="single" w:sz="8" w:space="0" w:color="FFC23D" w:themeColor="accent4"/>
          <w:right w:val="single" w:sz="8" w:space="0" w:color="FFC23D" w:themeColor="accent4"/>
          <w:insideV w:val="single" w:sz="8" w:space="0" w:color="FFC23D" w:themeColor="accent4"/>
        </w:tcBorders>
      </w:tcPr>
    </w:tblStylePr>
  </w:style>
  <w:style w:type="table" w:styleId="Grigliachiara-Colore5">
    <w:name w:val="Light Grid Accent 5"/>
    <w:basedOn w:val="Tabellanormale"/>
    <w:uiPriority w:val="62"/>
    <w:semiHidden/>
    <w:unhideWhenUsed/>
    <w:rsid w:val="002B0416"/>
    <w:tblPr>
      <w:tblStyleRowBandSize w:val="1"/>
      <w:tblStyleColBandSize w:val="1"/>
      <w:tblBorders>
        <w:top w:val="single" w:sz="8" w:space="0" w:color="A06DFF" w:themeColor="accent5"/>
        <w:left w:val="single" w:sz="8" w:space="0" w:color="A06DFF" w:themeColor="accent5"/>
        <w:bottom w:val="single" w:sz="8" w:space="0" w:color="A06DFF" w:themeColor="accent5"/>
        <w:right w:val="single" w:sz="8" w:space="0" w:color="A06DFF" w:themeColor="accent5"/>
        <w:insideH w:val="single" w:sz="8" w:space="0" w:color="A06DFF" w:themeColor="accent5"/>
        <w:insideV w:val="single" w:sz="8" w:space="0" w:color="A06DF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6DFF" w:themeColor="accent5"/>
          <w:left w:val="single" w:sz="8" w:space="0" w:color="A06DFF" w:themeColor="accent5"/>
          <w:bottom w:val="single" w:sz="18" w:space="0" w:color="A06DFF" w:themeColor="accent5"/>
          <w:right w:val="single" w:sz="8" w:space="0" w:color="A06DFF" w:themeColor="accent5"/>
          <w:insideH w:val="nil"/>
          <w:insideV w:val="single" w:sz="8" w:space="0" w:color="A06DF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6DFF" w:themeColor="accent5"/>
          <w:left w:val="single" w:sz="8" w:space="0" w:color="A06DFF" w:themeColor="accent5"/>
          <w:bottom w:val="single" w:sz="8" w:space="0" w:color="A06DFF" w:themeColor="accent5"/>
          <w:right w:val="single" w:sz="8" w:space="0" w:color="A06DFF" w:themeColor="accent5"/>
          <w:insideH w:val="nil"/>
          <w:insideV w:val="single" w:sz="8" w:space="0" w:color="A06DF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6DFF" w:themeColor="accent5"/>
          <w:left w:val="single" w:sz="8" w:space="0" w:color="A06DFF" w:themeColor="accent5"/>
          <w:bottom w:val="single" w:sz="8" w:space="0" w:color="A06DFF" w:themeColor="accent5"/>
          <w:right w:val="single" w:sz="8" w:space="0" w:color="A06DFF" w:themeColor="accent5"/>
        </w:tcBorders>
      </w:tcPr>
    </w:tblStylePr>
    <w:tblStylePr w:type="band1Vert">
      <w:tblPr/>
      <w:tcPr>
        <w:tcBorders>
          <w:top w:val="single" w:sz="8" w:space="0" w:color="A06DFF" w:themeColor="accent5"/>
          <w:left w:val="single" w:sz="8" w:space="0" w:color="A06DFF" w:themeColor="accent5"/>
          <w:bottom w:val="single" w:sz="8" w:space="0" w:color="A06DFF" w:themeColor="accent5"/>
          <w:right w:val="single" w:sz="8" w:space="0" w:color="A06DFF" w:themeColor="accent5"/>
        </w:tcBorders>
        <w:shd w:val="clear" w:color="auto" w:fill="E7DAFF" w:themeFill="accent5" w:themeFillTint="3F"/>
      </w:tcPr>
    </w:tblStylePr>
    <w:tblStylePr w:type="band1Horz">
      <w:tblPr/>
      <w:tcPr>
        <w:tcBorders>
          <w:top w:val="single" w:sz="8" w:space="0" w:color="A06DFF" w:themeColor="accent5"/>
          <w:left w:val="single" w:sz="8" w:space="0" w:color="A06DFF" w:themeColor="accent5"/>
          <w:bottom w:val="single" w:sz="8" w:space="0" w:color="A06DFF" w:themeColor="accent5"/>
          <w:right w:val="single" w:sz="8" w:space="0" w:color="A06DFF" w:themeColor="accent5"/>
          <w:insideV w:val="single" w:sz="8" w:space="0" w:color="A06DFF" w:themeColor="accent5"/>
        </w:tcBorders>
        <w:shd w:val="clear" w:color="auto" w:fill="E7DAFF" w:themeFill="accent5" w:themeFillTint="3F"/>
      </w:tcPr>
    </w:tblStylePr>
    <w:tblStylePr w:type="band2Horz">
      <w:tblPr/>
      <w:tcPr>
        <w:tcBorders>
          <w:top w:val="single" w:sz="8" w:space="0" w:color="A06DFF" w:themeColor="accent5"/>
          <w:left w:val="single" w:sz="8" w:space="0" w:color="A06DFF" w:themeColor="accent5"/>
          <w:bottom w:val="single" w:sz="8" w:space="0" w:color="A06DFF" w:themeColor="accent5"/>
          <w:right w:val="single" w:sz="8" w:space="0" w:color="A06DFF" w:themeColor="accent5"/>
          <w:insideV w:val="single" w:sz="8" w:space="0" w:color="A06DFF" w:themeColor="accent5"/>
        </w:tcBorders>
      </w:tcPr>
    </w:tblStylePr>
  </w:style>
  <w:style w:type="table" w:styleId="Grigliachiara-Colore6">
    <w:name w:val="Light Grid Accent 6"/>
    <w:basedOn w:val="Tabellanormale"/>
    <w:uiPriority w:val="62"/>
    <w:semiHidden/>
    <w:unhideWhenUsed/>
    <w:rsid w:val="002B0416"/>
    <w:tblPr>
      <w:tblStyleRowBandSize w:val="1"/>
      <w:tblStyleColBandSize w:val="1"/>
      <w:tblBorders>
        <w:top w:val="single" w:sz="8" w:space="0" w:color="2B144C" w:themeColor="accent6"/>
        <w:left w:val="single" w:sz="8" w:space="0" w:color="2B144C" w:themeColor="accent6"/>
        <w:bottom w:val="single" w:sz="8" w:space="0" w:color="2B144C" w:themeColor="accent6"/>
        <w:right w:val="single" w:sz="8" w:space="0" w:color="2B144C" w:themeColor="accent6"/>
        <w:insideH w:val="single" w:sz="8" w:space="0" w:color="2B144C" w:themeColor="accent6"/>
        <w:insideV w:val="single" w:sz="8" w:space="0" w:color="2B144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B144C" w:themeColor="accent6"/>
          <w:left w:val="single" w:sz="8" w:space="0" w:color="2B144C" w:themeColor="accent6"/>
          <w:bottom w:val="single" w:sz="18" w:space="0" w:color="2B144C" w:themeColor="accent6"/>
          <w:right w:val="single" w:sz="8" w:space="0" w:color="2B144C" w:themeColor="accent6"/>
          <w:insideH w:val="nil"/>
          <w:insideV w:val="single" w:sz="8" w:space="0" w:color="2B144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B144C" w:themeColor="accent6"/>
          <w:left w:val="single" w:sz="8" w:space="0" w:color="2B144C" w:themeColor="accent6"/>
          <w:bottom w:val="single" w:sz="8" w:space="0" w:color="2B144C" w:themeColor="accent6"/>
          <w:right w:val="single" w:sz="8" w:space="0" w:color="2B144C" w:themeColor="accent6"/>
          <w:insideH w:val="nil"/>
          <w:insideV w:val="single" w:sz="8" w:space="0" w:color="2B144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B144C" w:themeColor="accent6"/>
          <w:left w:val="single" w:sz="8" w:space="0" w:color="2B144C" w:themeColor="accent6"/>
          <w:bottom w:val="single" w:sz="8" w:space="0" w:color="2B144C" w:themeColor="accent6"/>
          <w:right w:val="single" w:sz="8" w:space="0" w:color="2B144C" w:themeColor="accent6"/>
        </w:tcBorders>
      </w:tcPr>
    </w:tblStylePr>
    <w:tblStylePr w:type="band1Vert">
      <w:tblPr/>
      <w:tcPr>
        <w:tcBorders>
          <w:top w:val="single" w:sz="8" w:space="0" w:color="2B144C" w:themeColor="accent6"/>
          <w:left w:val="single" w:sz="8" w:space="0" w:color="2B144C" w:themeColor="accent6"/>
          <w:bottom w:val="single" w:sz="8" w:space="0" w:color="2B144C" w:themeColor="accent6"/>
          <w:right w:val="single" w:sz="8" w:space="0" w:color="2B144C" w:themeColor="accent6"/>
        </w:tcBorders>
        <w:shd w:val="clear" w:color="auto" w:fill="C6AEE9" w:themeFill="accent6" w:themeFillTint="3F"/>
      </w:tcPr>
    </w:tblStylePr>
    <w:tblStylePr w:type="band1Horz">
      <w:tblPr/>
      <w:tcPr>
        <w:tcBorders>
          <w:top w:val="single" w:sz="8" w:space="0" w:color="2B144C" w:themeColor="accent6"/>
          <w:left w:val="single" w:sz="8" w:space="0" w:color="2B144C" w:themeColor="accent6"/>
          <w:bottom w:val="single" w:sz="8" w:space="0" w:color="2B144C" w:themeColor="accent6"/>
          <w:right w:val="single" w:sz="8" w:space="0" w:color="2B144C" w:themeColor="accent6"/>
          <w:insideV w:val="single" w:sz="8" w:space="0" w:color="2B144C" w:themeColor="accent6"/>
        </w:tcBorders>
        <w:shd w:val="clear" w:color="auto" w:fill="C6AEE9" w:themeFill="accent6" w:themeFillTint="3F"/>
      </w:tcPr>
    </w:tblStylePr>
    <w:tblStylePr w:type="band2Horz">
      <w:tblPr/>
      <w:tcPr>
        <w:tcBorders>
          <w:top w:val="single" w:sz="8" w:space="0" w:color="2B144C" w:themeColor="accent6"/>
          <w:left w:val="single" w:sz="8" w:space="0" w:color="2B144C" w:themeColor="accent6"/>
          <w:bottom w:val="single" w:sz="8" w:space="0" w:color="2B144C" w:themeColor="accent6"/>
          <w:right w:val="single" w:sz="8" w:space="0" w:color="2B144C" w:themeColor="accent6"/>
          <w:insideV w:val="single" w:sz="8" w:space="0" w:color="2B144C" w:themeColor="accent6"/>
        </w:tcBorders>
      </w:tcPr>
    </w:tblStylePr>
  </w:style>
  <w:style w:type="table" w:styleId="Elencochiaro">
    <w:name w:val="Light List"/>
    <w:basedOn w:val="Tabellanormale"/>
    <w:uiPriority w:val="61"/>
    <w:semiHidden/>
    <w:unhideWhenUsed/>
    <w:rsid w:val="002B041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semiHidden/>
    <w:unhideWhenUsed/>
    <w:rsid w:val="002B0416"/>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Elencochiaro-Colore2">
    <w:name w:val="Light List Accent 2"/>
    <w:basedOn w:val="Tabellanormale"/>
    <w:uiPriority w:val="61"/>
    <w:semiHidden/>
    <w:unhideWhenUsed/>
    <w:rsid w:val="002B0416"/>
    <w:tblPr>
      <w:tblStyleRowBandSize w:val="1"/>
      <w:tblStyleColBandSize w:val="1"/>
      <w:tblBorders>
        <w:top w:val="single" w:sz="8" w:space="0" w:color="00A4B3" w:themeColor="accent2"/>
        <w:left w:val="single" w:sz="8" w:space="0" w:color="00A4B3" w:themeColor="accent2"/>
        <w:bottom w:val="single" w:sz="8" w:space="0" w:color="00A4B3" w:themeColor="accent2"/>
        <w:right w:val="single" w:sz="8" w:space="0" w:color="00A4B3" w:themeColor="accent2"/>
      </w:tblBorders>
    </w:tblPr>
    <w:tblStylePr w:type="firstRow">
      <w:pPr>
        <w:spacing w:before="0" w:after="0" w:line="240" w:lineRule="auto"/>
      </w:pPr>
      <w:rPr>
        <w:b/>
        <w:bCs/>
        <w:color w:val="FFFFFF" w:themeColor="background1"/>
      </w:rPr>
      <w:tblPr/>
      <w:tcPr>
        <w:shd w:val="clear" w:color="auto" w:fill="00A4B3" w:themeFill="accent2"/>
      </w:tcPr>
    </w:tblStylePr>
    <w:tblStylePr w:type="lastRow">
      <w:pPr>
        <w:spacing w:before="0" w:after="0" w:line="240" w:lineRule="auto"/>
      </w:pPr>
      <w:rPr>
        <w:b/>
        <w:bCs/>
      </w:rPr>
      <w:tblPr/>
      <w:tcPr>
        <w:tcBorders>
          <w:top w:val="double" w:sz="6" w:space="0" w:color="00A4B3" w:themeColor="accent2"/>
          <w:left w:val="single" w:sz="8" w:space="0" w:color="00A4B3" w:themeColor="accent2"/>
          <w:bottom w:val="single" w:sz="8" w:space="0" w:color="00A4B3" w:themeColor="accent2"/>
          <w:right w:val="single" w:sz="8" w:space="0" w:color="00A4B3" w:themeColor="accent2"/>
        </w:tcBorders>
      </w:tcPr>
    </w:tblStylePr>
    <w:tblStylePr w:type="firstCol">
      <w:rPr>
        <w:b/>
        <w:bCs/>
      </w:rPr>
    </w:tblStylePr>
    <w:tblStylePr w:type="lastCol">
      <w:rPr>
        <w:b/>
        <w:bCs/>
      </w:rPr>
    </w:tblStylePr>
    <w:tblStylePr w:type="band1Vert">
      <w:tblPr/>
      <w:tcPr>
        <w:tcBorders>
          <w:top w:val="single" w:sz="8" w:space="0" w:color="00A4B3" w:themeColor="accent2"/>
          <w:left w:val="single" w:sz="8" w:space="0" w:color="00A4B3" w:themeColor="accent2"/>
          <w:bottom w:val="single" w:sz="8" w:space="0" w:color="00A4B3" w:themeColor="accent2"/>
          <w:right w:val="single" w:sz="8" w:space="0" w:color="00A4B3" w:themeColor="accent2"/>
        </w:tcBorders>
      </w:tcPr>
    </w:tblStylePr>
    <w:tblStylePr w:type="band1Horz">
      <w:tblPr/>
      <w:tcPr>
        <w:tcBorders>
          <w:top w:val="single" w:sz="8" w:space="0" w:color="00A4B3" w:themeColor="accent2"/>
          <w:left w:val="single" w:sz="8" w:space="0" w:color="00A4B3" w:themeColor="accent2"/>
          <w:bottom w:val="single" w:sz="8" w:space="0" w:color="00A4B3" w:themeColor="accent2"/>
          <w:right w:val="single" w:sz="8" w:space="0" w:color="00A4B3" w:themeColor="accent2"/>
        </w:tcBorders>
      </w:tcPr>
    </w:tblStylePr>
  </w:style>
  <w:style w:type="table" w:styleId="Elencochiaro-Colore3">
    <w:name w:val="Light List Accent 3"/>
    <w:basedOn w:val="Tabellanormale"/>
    <w:uiPriority w:val="61"/>
    <w:semiHidden/>
    <w:unhideWhenUsed/>
    <w:rsid w:val="002B0416"/>
    <w:tblPr>
      <w:tblStyleRowBandSize w:val="1"/>
      <w:tblStyleColBandSize w:val="1"/>
      <w:tblBorders>
        <w:top w:val="single" w:sz="8" w:space="0" w:color="FF5149" w:themeColor="accent3"/>
        <w:left w:val="single" w:sz="8" w:space="0" w:color="FF5149" w:themeColor="accent3"/>
        <w:bottom w:val="single" w:sz="8" w:space="0" w:color="FF5149" w:themeColor="accent3"/>
        <w:right w:val="single" w:sz="8" w:space="0" w:color="FF5149" w:themeColor="accent3"/>
      </w:tblBorders>
    </w:tblPr>
    <w:tblStylePr w:type="firstRow">
      <w:pPr>
        <w:spacing w:before="0" w:after="0" w:line="240" w:lineRule="auto"/>
      </w:pPr>
      <w:rPr>
        <w:b/>
        <w:bCs/>
        <w:color w:val="FFFFFF" w:themeColor="background1"/>
      </w:rPr>
      <w:tblPr/>
      <w:tcPr>
        <w:shd w:val="clear" w:color="auto" w:fill="FF5149" w:themeFill="accent3"/>
      </w:tcPr>
    </w:tblStylePr>
    <w:tblStylePr w:type="lastRow">
      <w:pPr>
        <w:spacing w:before="0" w:after="0" w:line="240" w:lineRule="auto"/>
      </w:pPr>
      <w:rPr>
        <w:b/>
        <w:bCs/>
      </w:rPr>
      <w:tblPr/>
      <w:tcPr>
        <w:tcBorders>
          <w:top w:val="double" w:sz="6" w:space="0" w:color="FF5149" w:themeColor="accent3"/>
          <w:left w:val="single" w:sz="8" w:space="0" w:color="FF5149" w:themeColor="accent3"/>
          <w:bottom w:val="single" w:sz="8" w:space="0" w:color="FF5149" w:themeColor="accent3"/>
          <w:right w:val="single" w:sz="8" w:space="0" w:color="FF5149" w:themeColor="accent3"/>
        </w:tcBorders>
      </w:tcPr>
    </w:tblStylePr>
    <w:tblStylePr w:type="firstCol">
      <w:rPr>
        <w:b/>
        <w:bCs/>
      </w:rPr>
    </w:tblStylePr>
    <w:tblStylePr w:type="lastCol">
      <w:rPr>
        <w:b/>
        <w:bCs/>
      </w:rPr>
    </w:tblStylePr>
    <w:tblStylePr w:type="band1Vert">
      <w:tblPr/>
      <w:tcPr>
        <w:tcBorders>
          <w:top w:val="single" w:sz="8" w:space="0" w:color="FF5149" w:themeColor="accent3"/>
          <w:left w:val="single" w:sz="8" w:space="0" w:color="FF5149" w:themeColor="accent3"/>
          <w:bottom w:val="single" w:sz="8" w:space="0" w:color="FF5149" w:themeColor="accent3"/>
          <w:right w:val="single" w:sz="8" w:space="0" w:color="FF5149" w:themeColor="accent3"/>
        </w:tcBorders>
      </w:tcPr>
    </w:tblStylePr>
    <w:tblStylePr w:type="band1Horz">
      <w:tblPr/>
      <w:tcPr>
        <w:tcBorders>
          <w:top w:val="single" w:sz="8" w:space="0" w:color="FF5149" w:themeColor="accent3"/>
          <w:left w:val="single" w:sz="8" w:space="0" w:color="FF5149" w:themeColor="accent3"/>
          <w:bottom w:val="single" w:sz="8" w:space="0" w:color="FF5149" w:themeColor="accent3"/>
          <w:right w:val="single" w:sz="8" w:space="0" w:color="FF5149" w:themeColor="accent3"/>
        </w:tcBorders>
      </w:tcPr>
    </w:tblStylePr>
  </w:style>
  <w:style w:type="table" w:styleId="Elencochiaro-Colore4">
    <w:name w:val="Light List Accent 4"/>
    <w:basedOn w:val="Tabellanormale"/>
    <w:uiPriority w:val="61"/>
    <w:semiHidden/>
    <w:unhideWhenUsed/>
    <w:rsid w:val="002B0416"/>
    <w:tblPr>
      <w:tblStyleRowBandSize w:val="1"/>
      <w:tblStyleColBandSize w:val="1"/>
      <w:tblBorders>
        <w:top w:val="single" w:sz="8" w:space="0" w:color="FFC23D" w:themeColor="accent4"/>
        <w:left w:val="single" w:sz="8" w:space="0" w:color="FFC23D" w:themeColor="accent4"/>
        <w:bottom w:val="single" w:sz="8" w:space="0" w:color="FFC23D" w:themeColor="accent4"/>
        <w:right w:val="single" w:sz="8" w:space="0" w:color="FFC23D" w:themeColor="accent4"/>
      </w:tblBorders>
    </w:tblPr>
    <w:tblStylePr w:type="firstRow">
      <w:pPr>
        <w:spacing w:before="0" w:after="0" w:line="240" w:lineRule="auto"/>
      </w:pPr>
      <w:rPr>
        <w:b/>
        <w:bCs/>
        <w:color w:val="FFFFFF" w:themeColor="background1"/>
      </w:rPr>
      <w:tblPr/>
      <w:tcPr>
        <w:shd w:val="clear" w:color="auto" w:fill="FFC23D" w:themeFill="accent4"/>
      </w:tcPr>
    </w:tblStylePr>
    <w:tblStylePr w:type="lastRow">
      <w:pPr>
        <w:spacing w:before="0" w:after="0" w:line="240" w:lineRule="auto"/>
      </w:pPr>
      <w:rPr>
        <w:b/>
        <w:bCs/>
      </w:rPr>
      <w:tblPr/>
      <w:tcPr>
        <w:tcBorders>
          <w:top w:val="double" w:sz="6" w:space="0" w:color="FFC23D" w:themeColor="accent4"/>
          <w:left w:val="single" w:sz="8" w:space="0" w:color="FFC23D" w:themeColor="accent4"/>
          <w:bottom w:val="single" w:sz="8" w:space="0" w:color="FFC23D" w:themeColor="accent4"/>
          <w:right w:val="single" w:sz="8" w:space="0" w:color="FFC23D" w:themeColor="accent4"/>
        </w:tcBorders>
      </w:tcPr>
    </w:tblStylePr>
    <w:tblStylePr w:type="firstCol">
      <w:rPr>
        <w:b/>
        <w:bCs/>
      </w:rPr>
    </w:tblStylePr>
    <w:tblStylePr w:type="lastCol">
      <w:rPr>
        <w:b/>
        <w:bCs/>
      </w:rPr>
    </w:tblStylePr>
    <w:tblStylePr w:type="band1Vert">
      <w:tblPr/>
      <w:tcPr>
        <w:tcBorders>
          <w:top w:val="single" w:sz="8" w:space="0" w:color="FFC23D" w:themeColor="accent4"/>
          <w:left w:val="single" w:sz="8" w:space="0" w:color="FFC23D" w:themeColor="accent4"/>
          <w:bottom w:val="single" w:sz="8" w:space="0" w:color="FFC23D" w:themeColor="accent4"/>
          <w:right w:val="single" w:sz="8" w:space="0" w:color="FFC23D" w:themeColor="accent4"/>
        </w:tcBorders>
      </w:tcPr>
    </w:tblStylePr>
    <w:tblStylePr w:type="band1Horz">
      <w:tblPr/>
      <w:tcPr>
        <w:tcBorders>
          <w:top w:val="single" w:sz="8" w:space="0" w:color="FFC23D" w:themeColor="accent4"/>
          <w:left w:val="single" w:sz="8" w:space="0" w:color="FFC23D" w:themeColor="accent4"/>
          <w:bottom w:val="single" w:sz="8" w:space="0" w:color="FFC23D" w:themeColor="accent4"/>
          <w:right w:val="single" w:sz="8" w:space="0" w:color="FFC23D" w:themeColor="accent4"/>
        </w:tcBorders>
      </w:tcPr>
    </w:tblStylePr>
  </w:style>
  <w:style w:type="table" w:styleId="Elencochiaro-Colore5">
    <w:name w:val="Light List Accent 5"/>
    <w:basedOn w:val="Tabellanormale"/>
    <w:uiPriority w:val="61"/>
    <w:semiHidden/>
    <w:unhideWhenUsed/>
    <w:rsid w:val="002B0416"/>
    <w:tblPr>
      <w:tblStyleRowBandSize w:val="1"/>
      <w:tblStyleColBandSize w:val="1"/>
      <w:tblBorders>
        <w:top w:val="single" w:sz="8" w:space="0" w:color="A06DFF" w:themeColor="accent5"/>
        <w:left w:val="single" w:sz="8" w:space="0" w:color="A06DFF" w:themeColor="accent5"/>
        <w:bottom w:val="single" w:sz="8" w:space="0" w:color="A06DFF" w:themeColor="accent5"/>
        <w:right w:val="single" w:sz="8" w:space="0" w:color="A06DFF" w:themeColor="accent5"/>
      </w:tblBorders>
    </w:tblPr>
    <w:tblStylePr w:type="firstRow">
      <w:pPr>
        <w:spacing w:before="0" w:after="0" w:line="240" w:lineRule="auto"/>
      </w:pPr>
      <w:rPr>
        <w:b/>
        <w:bCs/>
        <w:color w:val="FFFFFF" w:themeColor="background1"/>
      </w:rPr>
      <w:tblPr/>
      <w:tcPr>
        <w:shd w:val="clear" w:color="auto" w:fill="A06DFF" w:themeFill="accent5"/>
      </w:tcPr>
    </w:tblStylePr>
    <w:tblStylePr w:type="lastRow">
      <w:pPr>
        <w:spacing w:before="0" w:after="0" w:line="240" w:lineRule="auto"/>
      </w:pPr>
      <w:rPr>
        <w:b/>
        <w:bCs/>
      </w:rPr>
      <w:tblPr/>
      <w:tcPr>
        <w:tcBorders>
          <w:top w:val="double" w:sz="6" w:space="0" w:color="A06DFF" w:themeColor="accent5"/>
          <w:left w:val="single" w:sz="8" w:space="0" w:color="A06DFF" w:themeColor="accent5"/>
          <w:bottom w:val="single" w:sz="8" w:space="0" w:color="A06DFF" w:themeColor="accent5"/>
          <w:right w:val="single" w:sz="8" w:space="0" w:color="A06DFF" w:themeColor="accent5"/>
        </w:tcBorders>
      </w:tcPr>
    </w:tblStylePr>
    <w:tblStylePr w:type="firstCol">
      <w:rPr>
        <w:b/>
        <w:bCs/>
      </w:rPr>
    </w:tblStylePr>
    <w:tblStylePr w:type="lastCol">
      <w:rPr>
        <w:b/>
        <w:bCs/>
      </w:rPr>
    </w:tblStylePr>
    <w:tblStylePr w:type="band1Vert">
      <w:tblPr/>
      <w:tcPr>
        <w:tcBorders>
          <w:top w:val="single" w:sz="8" w:space="0" w:color="A06DFF" w:themeColor="accent5"/>
          <w:left w:val="single" w:sz="8" w:space="0" w:color="A06DFF" w:themeColor="accent5"/>
          <w:bottom w:val="single" w:sz="8" w:space="0" w:color="A06DFF" w:themeColor="accent5"/>
          <w:right w:val="single" w:sz="8" w:space="0" w:color="A06DFF" w:themeColor="accent5"/>
        </w:tcBorders>
      </w:tcPr>
    </w:tblStylePr>
    <w:tblStylePr w:type="band1Horz">
      <w:tblPr/>
      <w:tcPr>
        <w:tcBorders>
          <w:top w:val="single" w:sz="8" w:space="0" w:color="A06DFF" w:themeColor="accent5"/>
          <w:left w:val="single" w:sz="8" w:space="0" w:color="A06DFF" w:themeColor="accent5"/>
          <w:bottom w:val="single" w:sz="8" w:space="0" w:color="A06DFF" w:themeColor="accent5"/>
          <w:right w:val="single" w:sz="8" w:space="0" w:color="A06DFF" w:themeColor="accent5"/>
        </w:tcBorders>
      </w:tcPr>
    </w:tblStylePr>
  </w:style>
  <w:style w:type="table" w:styleId="Elencochiaro-Colore6">
    <w:name w:val="Light List Accent 6"/>
    <w:basedOn w:val="Tabellanormale"/>
    <w:uiPriority w:val="61"/>
    <w:semiHidden/>
    <w:unhideWhenUsed/>
    <w:rsid w:val="002B0416"/>
    <w:tblPr>
      <w:tblStyleRowBandSize w:val="1"/>
      <w:tblStyleColBandSize w:val="1"/>
      <w:tblBorders>
        <w:top w:val="single" w:sz="8" w:space="0" w:color="2B144C" w:themeColor="accent6"/>
        <w:left w:val="single" w:sz="8" w:space="0" w:color="2B144C" w:themeColor="accent6"/>
        <w:bottom w:val="single" w:sz="8" w:space="0" w:color="2B144C" w:themeColor="accent6"/>
        <w:right w:val="single" w:sz="8" w:space="0" w:color="2B144C" w:themeColor="accent6"/>
      </w:tblBorders>
    </w:tblPr>
    <w:tblStylePr w:type="firstRow">
      <w:pPr>
        <w:spacing w:before="0" w:after="0" w:line="240" w:lineRule="auto"/>
      </w:pPr>
      <w:rPr>
        <w:b/>
        <w:bCs/>
        <w:color w:val="FFFFFF" w:themeColor="background1"/>
      </w:rPr>
      <w:tblPr/>
      <w:tcPr>
        <w:shd w:val="clear" w:color="auto" w:fill="2B144C" w:themeFill="accent6"/>
      </w:tcPr>
    </w:tblStylePr>
    <w:tblStylePr w:type="lastRow">
      <w:pPr>
        <w:spacing w:before="0" w:after="0" w:line="240" w:lineRule="auto"/>
      </w:pPr>
      <w:rPr>
        <w:b/>
        <w:bCs/>
      </w:rPr>
      <w:tblPr/>
      <w:tcPr>
        <w:tcBorders>
          <w:top w:val="double" w:sz="6" w:space="0" w:color="2B144C" w:themeColor="accent6"/>
          <w:left w:val="single" w:sz="8" w:space="0" w:color="2B144C" w:themeColor="accent6"/>
          <w:bottom w:val="single" w:sz="8" w:space="0" w:color="2B144C" w:themeColor="accent6"/>
          <w:right w:val="single" w:sz="8" w:space="0" w:color="2B144C" w:themeColor="accent6"/>
        </w:tcBorders>
      </w:tcPr>
    </w:tblStylePr>
    <w:tblStylePr w:type="firstCol">
      <w:rPr>
        <w:b/>
        <w:bCs/>
      </w:rPr>
    </w:tblStylePr>
    <w:tblStylePr w:type="lastCol">
      <w:rPr>
        <w:b/>
        <w:bCs/>
      </w:rPr>
    </w:tblStylePr>
    <w:tblStylePr w:type="band1Vert">
      <w:tblPr/>
      <w:tcPr>
        <w:tcBorders>
          <w:top w:val="single" w:sz="8" w:space="0" w:color="2B144C" w:themeColor="accent6"/>
          <w:left w:val="single" w:sz="8" w:space="0" w:color="2B144C" w:themeColor="accent6"/>
          <w:bottom w:val="single" w:sz="8" w:space="0" w:color="2B144C" w:themeColor="accent6"/>
          <w:right w:val="single" w:sz="8" w:space="0" w:color="2B144C" w:themeColor="accent6"/>
        </w:tcBorders>
      </w:tcPr>
    </w:tblStylePr>
    <w:tblStylePr w:type="band1Horz">
      <w:tblPr/>
      <w:tcPr>
        <w:tcBorders>
          <w:top w:val="single" w:sz="8" w:space="0" w:color="2B144C" w:themeColor="accent6"/>
          <w:left w:val="single" w:sz="8" w:space="0" w:color="2B144C" w:themeColor="accent6"/>
          <w:bottom w:val="single" w:sz="8" w:space="0" w:color="2B144C" w:themeColor="accent6"/>
          <w:right w:val="single" w:sz="8" w:space="0" w:color="2B144C" w:themeColor="accent6"/>
        </w:tcBorders>
      </w:tcPr>
    </w:tblStylePr>
  </w:style>
  <w:style w:type="table" w:styleId="Sfondochiaro">
    <w:name w:val="Light Shading"/>
    <w:basedOn w:val="Tabellanormale"/>
    <w:uiPriority w:val="60"/>
    <w:semiHidden/>
    <w:unhideWhenUsed/>
    <w:rsid w:val="002B041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semiHidden/>
    <w:unhideWhenUsed/>
    <w:rsid w:val="002B0416"/>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Sfondochiaro-Colore2">
    <w:name w:val="Light Shading Accent 2"/>
    <w:basedOn w:val="Tabellanormale"/>
    <w:uiPriority w:val="60"/>
    <w:semiHidden/>
    <w:unhideWhenUsed/>
    <w:rsid w:val="002B0416"/>
    <w:rPr>
      <w:color w:val="007A86" w:themeColor="accent2" w:themeShade="BF"/>
    </w:rPr>
    <w:tblPr>
      <w:tblStyleRowBandSize w:val="1"/>
      <w:tblStyleColBandSize w:val="1"/>
      <w:tblBorders>
        <w:top w:val="single" w:sz="8" w:space="0" w:color="00A4B3" w:themeColor="accent2"/>
        <w:bottom w:val="single" w:sz="8" w:space="0" w:color="00A4B3" w:themeColor="accent2"/>
      </w:tblBorders>
    </w:tblPr>
    <w:tblStylePr w:type="firstRow">
      <w:pPr>
        <w:spacing w:before="0" w:after="0" w:line="240" w:lineRule="auto"/>
      </w:pPr>
      <w:rPr>
        <w:b/>
        <w:bCs/>
      </w:rPr>
      <w:tblPr/>
      <w:tcPr>
        <w:tcBorders>
          <w:top w:val="single" w:sz="8" w:space="0" w:color="00A4B3" w:themeColor="accent2"/>
          <w:left w:val="nil"/>
          <w:bottom w:val="single" w:sz="8" w:space="0" w:color="00A4B3" w:themeColor="accent2"/>
          <w:right w:val="nil"/>
          <w:insideH w:val="nil"/>
          <w:insideV w:val="nil"/>
        </w:tcBorders>
      </w:tcPr>
    </w:tblStylePr>
    <w:tblStylePr w:type="lastRow">
      <w:pPr>
        <w:spacing w:before="0" w:after="0" w:line="240" w:lineRule="auto"/>
      </w:pPr>
      <w:rPr>
        <w:b/>
        <w:bCs/>
      </w:rPr>
      <w:tblPr/>
      <w:tcPr>
        <w:tcBorders>
          <w:top w:val="single" w:sz="8" w:space="0" w:color="00A4B3" w:themeColor="accent2"/>
          <w:left w:val="nil"/>
          <w:bottom w:val="single" w:sz="8" w:space="0" w:color="00A4B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7FF" w:themeFill="accent2" w:themeFillTint="3F"/>
      </w:tcPr>
    </w:tblStylePr>
    <w:tblStylePr w:type="band1Horz">
      <w:tblPr/>
      <w:tcPr>
        <w:tcBorders>
          <w:left w:val="nil"/>
          <w:right w:val="nil"/>
          <w:insideH w:val="nil"/>
          <w:insideV w:val="nil"/>
        </w:tcBorders>
        <w:shd w:val="clear" w:color="auto" w:fill="ADF7FF" w:themeFill="accent2" w:themeFillTint="3F"/>
      </w:tcPr>
    </w:tblStylePr>
  </w:style>
  <w:style w:type="table" w:styleId="Sfondochiaro-Colore3">
    <w:name w:val="Light Shading Accent 3"/>
    <w:basedOn w:val="Tabellanormale"/>
    <w:uiPriority w:val="60"/>
    <w:semiHidden/>
    <w:unhideWhenUsed/>
    <w:rsid w:val="002B0416"/>
    <w:rPr>
      <w:color w:val="F50A00" w:themeColor="accent3" w:themeShade="BF"/>
    </w:rPr>
    <w:tblPr>
      <w:tblStyleRowBandSize w:val="1"/>
      <w:tblStyleColBandSize w:val="1"/>
      <w:tblBorders>
        <w:top w:val="single" w:sz="8" w:space="0" w:color="FF5149" w:themeColor="accent3"/>
        <w:bottom w:val="single" w:sz="8" w:space="0" w:color="FF5149" w:themeColor="accent3"/>
      </w:tblBorders>
    </w:tblPr>
    <w:tblStylePr w:type="firstRow">
      <w:pPr>
        <w:spacing w:before="0" w:after="0" w:line="240" w:lineRule="auto"/>
      </w:pPr>
      <w:rPr>
        <w:b/>
        <w:bCs/>
      </w:rPr>
      <w:tblPr/>
      <w:tcPr>
        <w:tcBorders>
          <w:top w:val="single" w:sz="8" w:space="0" w:color="FF5149" w:themeColor="accent3"/>
          <w:left w:val="nil"/>
          <w:bottom w:val="single" w:sz="8" w:space="0" w:color="FF5149" w:themeColor="accent3"/>
          <w:right w:val="nil"/>
          <w:insideH w:val="nil"/>
          <w:insideV w:val="nil"/>
        </w:tcBorders>
      </w:tcPr>
    </w:tblStylePr>
    <w:tblStylePr w:type="lastRow">
      <w:pPr>
        <w:spacing w:before="0" w:after="0" w:line="240" w:lineRule="auto"/>
      </w:pPr>
      <w:rPr>
        <w:b/>
        <w:bCs/>
      </w:rPr>
      <w:tblPr/>
      <w:tcPr>
        <w:tcBorders>
          <w:top w:val="single" w:sz="8" w:space="0" w:color="FF5149" w:themeColor="accent3"/>
          <w:left w:val="nil"/>
          <w:bottom w:val="single" w:sz="8" w:space="0" w:color="FF514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3D2" w:themeFill="accent3" w:themeFillTint="3F"/>
      </w:tcPr>
    </w:tblStylePr>
    <w:tblStylePr w:type="band1Horz">
      <w:tblPr/>
      <w:tcPr>
        <w:tcBorders>
          <w:left w:val="nil"/>
          <w:right w:val="nil"/>
          <w:insideH w:val="nil"/>
          <w:insideV w:val="nil"/>
        </w:tcBorders>
        <w:shd w:val="clear" w:color="auto" w:fill="FFD3D2" w:themeFill="accent3" w:themeFillTint="3F"/>
      </w:tcPr>
    </w:tblStylePr>
  </w:style>
  <w:style w:type="table" w:styleId="Sfondochiaro-Colore4">
    <w:name w:val="Light Shading Accent 4"/>
    <w:basedOn w:val="Tabellanormale"/>
    <w:uiPriority w:val="60"/>
    <w:semiHidden/>
    <w:unhideWhenUsed/>
    <w:rsid w:val="002B0416"/>
    <w:rPr>
      <w:color w:val="ECA100" w:themeColor="accent4" w:themeShade="BF"/>
    </w:rPr>
    <w:tblPr>
      <w:tblStyleRowBandSize w:val="1"/>
      <w:tblStyleColBandSize w:val="1"/>
      <w:tblBorders>
        <w:top w:val="single" w:sz="8" w:space="0" w:color="FFC23D" w:themeColor="accent4"/>
        <w:bottom w:val="single" w:sz="8" w:space="0" w:color="FFC23D" w:themeColor="accent4"/>
      </w:tblBorders>
    </w:tblPr>
    <w:tblStylePr w:type="firstRow">
      <w:pPr>
        <w:spacing w:before="0" w:after="0" w:line="240" w:lineRule="auto"/>
      </w:pPr>
      <w:rPr>
        <w:b/>
        <w:bCs/>
      </w:rPr>
      <w:tblPr/>
      <w:tcPr>
        <w:tcBorders>
          <w:top w:val="single" w:sz="8" w:space="0" w:color="FFC23D" w:themeColor="accent4"/>
          <w:left w:val="nil"/>
          <w:bottom w:val="single" w:sz="8" w:space="0" w:color="FFC23D" w:themeColor="accent4"/>
          <w:right w:val="nil"/>
          <w:insideH w:val="nil"/>
          <w:insideV w:val="nil"/>
        </w:tcBorders>
      </w:tcPr>
    </w:tblStylePr>
    <w:tblStylePr w:type="lastRow">
      <w:pPr>
        <w:spacing w:before="0" w:after="0" w:line="240" w:lineRule="auto"/>
      </w:pPr>
      <w:rPr>
        <w:b/>
        <w:bCs/>
      </w:rPr>
      <w:tblPr/>
      <w:tcPr>
        <w:tcBorders>
          <w:top w:val="single" w:sz="8" w:space="0" w:color="FFC23D" w:themeColor="accent4"/>
          <w:left w:val="nil"/>
          <w:bottom w:val="single" w:sz="8" w:space="0" w:color="FFC23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F" w:themeFill="accent4" w:themeFillTint="3F"/>
      </w:tcPr>
    </w:tblStylePr>
    <w:tblStylePr w:type="band1Horz">
      <w:tblPr/>
      <w:tcPr>
        <w:tcBorders>
          <w:left w:val="nil"/>
          <w:right w:val="nil"/>
          <w:insideH w:val="nil"/>
          <w:insideV w:val="nil"/>
        </w:tcBorders>
        <w:shd w:val="clear" w:color="auto" w:fill="FFEFCF" w:themeFill="accent4" w:themeFillTint="3F"/>
      </w:tcPr>
    </w:tblStylePr>
  </w:style>
  <w:style w:type="table" w:styleId="Sfondochiaro-Colore5">
    <w:name w:val="Light Shading Accent 5"/>
    <w:basedOn w:val="Tabellanormale"/>
    <w:uiPriority w:val="60"/>
    <w:semiHidden/>
    <w:unhideWhenUsed/>
    <w:rsid w:val="002B0416"/>
    <w:rPr>
      <w:color w:val="6411FF" w:themeColor="accent5" w:themeShade="BF"/>
    </w:rPr>
    <w:tblPr>
      <w:tblStyleRowBandSize w:val="1"/>
      <w:tblStyleColBandSize w:val="1"/>
      <w:tblBorders>
        <w:top w:val="single" w:sz="8" w:space="0" w:color="A06DFF" w:themeColor="accent5"/>
        <w:bottom w:val="single" w:sz="8" w:space="0" w:color="A06DFF" w:themeColor="accent5"/>
      </w:tblBorders>
    </w:tblPr>
    <w:tblStylePr w:type="firstRow">
      <w:pPr>
        <w:spacing w:before="0" w:after="0" w:line="240" w:lineRule="auto"/>
      </w:pPr>
      <w:rPr>
        <w:b/>
        <w:bCs/>
      </w:rPr>
      <w:tblPr/>
      <w:tcPr>
        <w:tcBorders>
          <w:top w:val="single" w:sz="8" w:space="0" w:color="A06DFF" w:themeColor="accent5"/>
          <w:left w:val="nil"/>
          <w:bottom w:val="single" w:sz="8" w:space="0" w:color="A06DFF" w:themeColor="accent5"/>
          <w:right w:val="nil"/>
          <w:insideH w:val="nil"/>
          <w:insideV w:val="nil"/>
        </w:tcBorders>
      </w:tcPr>
    </w:tblStylePr>
    <w:tblStylePr w:type="lastRow">
      <w:pPr>
        <w:spacing w:before="0" w:after="0" w:line="240" w:lineRule="auto"/>
      </w:pPr>
      <w:rPr>
        <w:b/>
        <w:bCs/>
      </w:rPr>
      <w:tblPr/>
      <w:tcPr>
        <w:tcBorders>
          <w:top w:val="single" w:sz="8" w:space="0" w:color="A06DFF" w:themeColor="accent5"/>
          <w:left w:val="nil"/>
          <w:bottom w:val="single" w:sz="8" w:space="0" w:color="A06DF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DAFF" w:themeFill="accent5" w:themeFillTint="3F"/>
      </w:tcPr>
    </w:tblStylePr>
    <w:tblStylePr w:type="band1Horz">
      <w:tblPr/>
      <w:tcPr>
        <w:tcBorders>
          <w:left w:val="nil"/>
          <w:right w:val="nil"/>
          <w:insideH w:val="nil"/>
          <w:insideV w:val="nil"/>
        </w:tcBorders>
        <w:shd w:val="clear" w:color="auto" w:fill="E7DAFF" w:themeFill="accent5" w:themeFillTint="3F"/>
      </w:tcPr>
    </w:tblStylePr>
  </w:style>
  <w:style w:type="table" w:styleId="Sfondochiaro-Colore6">
    <w:name w:val="Light Shading Accent 6"/>
    <w:basedOn w:val="Tabellanormale"/>
    <w:uiPriority w:val="60"/>
    <w:semiHidden/>
    <w:unhideWhenUsed/>
    <w:rsid w:val="002B0416"/>
    <w:rPr>
      <w:color w:val="1F0F38" w:themeColor="accent6" w:themeShade="BF"/>
    </w:rPr>
    <w:tblPr>
      <w:tblStyleRowBandSize w:val="1"/>
      <w:tblStyleColBandSize w:val="1"/>
      <w:tblBorders>
        <w:top w:val="single" w:sz="8" w:space="0" w:color="2B144C" w:themeColor="accent6"/>
        <w:bottom w:val="single" w:sz="8" w:space="0" w:color="2B144C" w:themeColor="accent6"/>
      </w:tblBorders>
    </w:tblPr>
    <w:tblStylePr w:type="firstRow">
      <w:pPr>
        <w:spacing w:before="0" w:after="0" w:line="240" w:lineRule="auto"/>
      </w:pPr>
      <w:rPr>
        <w:b/>
        <w:bCs/>
      </w:rPr>
      <w:tblPr/>
      <w:tcPr>
        <w:tcBorders>
          <w:top w:val="single" w:sz="8" w:space="0" w:color="2B144C" w:themeColor="accent6"/>
          <w:left w:val="nil"/>
          <w:bottom w:val="single" w:sz="8" w:space="0" w:color="2B144C" w:themeColor="accent6"/>
          <w:right w:val="nil"/>
          <w:insideH w:val="nil"/>
          <w:insideV w:val="nil"/>
        </w:tcBorders>
      </w:tcPr>
    </w:tblStylePr>
    <w:tblStylePr w:type="lastRow">
      <w:pPr>
        <w:spacing w:before="0" w:after="0" w:line="240" w:lineRule="auto"/>
      </w:pPr>
      <w:rPr>
        <w:b/>
        <w:bCs/>
      </w:rPr>
      <w:tblPr/>
      <w:tcPr>
        <w:tcBorders>
          <w:top w:val="single" w:sz="8" w:space="0" w:color="2B144C" w:themeColor="accent6"/>
          <w:left w:val="nil"/>
          <w:bottom w:val="single" w:sz="8" w:space="0" w:color="2B144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6AEE9" w:themeFill="accent6" w:themeFillTint="3F"/>
      </w:tcPr>
    </w:tblStylePr>
    <w:tblStylePr w:type="band1Horz">
      <w:tblPr/>
      <w:tcPr>
        <w:tcBorders>
          <w:left w:val="nil"/>
          <w:right w:val="nil"/>
          <w:insideH w:val="nil"/>
          <w:insideV w:val="nil"/>
        </w:tcBorders>
        <w:shd w:val="clear" w:color="auto" w:fill="C6AEE9" w:themeFill="accent6" w:themeFillTint="3F"/>
      </w:tcPr>
    </w:tblStylePr>
  </w:style>
  <w:style w:type="table" w:styleId="Tabellaelenco1chiara">
    <w:name w:val="List Table 1 Light"/>
    <w:basedOn w:val="Tabellanormale"/>
    <w:uiPriority w:val="46"/>
    <w:rsid w:val="002B041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1chiara-colore1">
    <w:name w:val="List Table 1 Light Accent 1"/>
    <w:basedOn w:val="Tabellanormale"/>
    <w:uiPriority w:val="46"/>
    <w:rsid w:val="002B0416"/>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elenco1chiara-colore2">
    <w:name w:val="List Table 1 Light Accent 2"/>
    <w:basedOn w:val="Tabellanormale"/>
    <w:uiPriority w:val="46"/>
    <w:rsid w:val="002B0416"/>
    <w:tblPr>
      <w:tblStyleRowBandSize w:val="1"/>
      <w:tblStyleColBandSize w:val="1"/>
    </w:tblPr>
    <w:tblStylePr w:type="firstRow">
      <w:rPr>
        <w:b/>
        <w:bCs/>
      </w:rPr>
      <w:tblPr/>
      <w:tcPr>
        <w:tcBorders>
          <w:bottom w:val="single" w:sz="4" w:space="0" w:color="38EDFF" w:themeColor="accent2" w:themeTint="99"/>
        </w:tcBorders>
      </w:tcPr>
    </w:tblStylePr>
    <w:tblStylePr w:type="lastRow">
      <w:rPr>
        <w:b/>
        <w:bCs/>
      </w:rPr>
      <w:tblPr/>
      <w:tcPr>
        <w:tcBorders>
          <w:top w:val="single" w:sz="4" w:space="0" w:color="38EDFF" w:themeColor="accent2" w:themeTint="99"/>
        </w:tcBorders>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elenco1chiara-colore3">
    <w:name w:val="List Table 1 Light Accent 3"/>
    <w:basedOn w:val="Tabellanormale"/>
    <w:uiPriority w:val="46"/>
    <w:rsid w:val="002B0416"/>
    <w:tblPr>
      <w:tblStyleRowBandSize w:val="1"/>
      <w:tblStyleColBandSize w:val="1"/>
    </w:tblPr>
    <w:tblStylePr w:type="firstRow">
      <w:rPr>
        <w:b/>
        <w:bCs/>
      </w:rPr>
      <w:tblPr/>
      <w:tcPr>
        <w:tcBorders>
          <w:bottom w:val="single" w:sz="4" w:space="0" w:color="FF9691" w:themeColor="accent3" w:themeTint="99"/>
        </w:tcBorders>
      </w:tcPr>
    </w:tblStylePr>
    <w:tblStylePr w:type="lastRow">
      <w:rPr>
        <w:b/>
        <w:bCs/>
      </w:rPr>
      <w:tblPr/>
      <w:tcPr>
        <w:tcBorders>
          <w:top w:val="single" w:sz="4" w:space="0" w:color="FF9691" w:themeColor="accent3" w:themeTint="99"/>
        </w:tcBorders>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elenco1chiara-colore4">
    <w:name w:val="List Table 1 Light Accent 4"/>
    <w:basedOn w:val="Tabellanormale"/>
    <w:uiPriority w:val="46"/>
    <w:rsid w:val="002B0416"/>
    <w:tblPr>
      <w:tblStyleRowBandSize w:val="1"/>
      <w:tblStyleColBandSize w:val="1"/>
    </w:tblPr>
    <w:tblStylePr w:type="firstRow">
      <w:rPr>
        <w:b/>
        <w:bCs/>
      </w:rPr>
      <w:tblPr/>
      <w:tcPr>
        <w:tcBorders>
          <w:bottom w:val="single" w:sz="4" w:space="0" w:color="FFD98A" w:themeColor="accent4" w:themeTint="99"/>
        </w:tcBorders>
      </w:tcPr>
    </w:tblStylePr>
    <w:tblStylePr w:type="lastRow">
      <w:rPr>
        <w:b/>
        <w:bCs/>
      </w:rPr>
      <w:tblPr/>
      <w:tcPr>
        <w:tcBorders>
          <w:top w:val="single" w:sz="4" w:space="0" w:color="FFD98A" w:themeColor="accent4" w:themeTint="99"/>
        </w:tcBorders>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elenco1chiara-colore5">
    <w:name w:val="List Table 1 Light Accent 5"/>
    <w:basedOn w:val="Tabellanormale"/>
    <w:uiPriority w:val="46"/>
    <w:rsid w:val="002B0416"/>
    <w:tblPr>
      <w:tblStyleRowBandSize w:val="1"/>
      <w:tblStyleColBandSize w:val="1"/>
    </w:tblPr>
    <w:tblStylePr w:type="firstRow">
      <w:rPr>
        <w:b/>
        <w:bCs/>
      </w:rPr>
      <w:tblPr/>
      <w:tcPr>
        <w:tcBorders>
          <w:bottom w:val="single" w:sz="4" w:space="0" w:color="C5A7FF" w:themeColor="accent5" w:themeTint="99"/>
        </w:tcBorders>
      </w:tcPr>
    </w:tblStylePr>
    <w:tblStylePr w:type="lastRow">
      <w:rPr>
        <w:b/>
        <w:bCs/>
      </w:rPr>
      <w:tblPr/>
      <w:tcPr>
        <w:tcBorders>
          <w:top w:val="single" w:sz="4" w:space="0" w:color="C5A7FF" w:themeColor="accent5" w:themeTint="99"/>
        </w:tcBorders>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elenco1chiara-colore6">
    <w:name w:val="List Table 1 Light Accent 6"/>
    <w:basedOn w:val="Tabellanormale"/>
    <w:uiPriority w:val="46"/>
    <w:rsid w:val="002B0416"/>
    <w:tblPr>
      <w:tblStyleRowBandSize w:val="1"/>
      <w:tblStyleColBandSize w:val="1"/>
    </w:tblPr>
    <w:tblStylePr w:type="firstRow">
      <w:rPr>
        <w:b/>
        <w:bCs/>
      </w:rPr>
      <w:tblPr/>
      <w:tcPr>
        <w:tcBorders>
          <w:bottom w:val="single" w:sz="4" w:space="0" w:color="753ACB" w:themeColor="accent6" w:themeTint="99"/>
        </w:tcBorders>
      </w:tcPr>
    </w:tblStylePr>
    <w:tblStylePr w:type="lastRow">
      <w:rPr>
        <w:b/>
        <w:bCs/>
      </w:rPr>
      <w:tblPr/>
      <w:tcPr>
        <w:tcBorders>
          <w:top w:val="single" w:sz="4" w:space="0" w:color="753ACB" w:themeColor="accent6" w:themeTint="99"/>
        </w:tcBorders>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Tabellaelenco2">
    <w:name w:val="List Table 2"/>
    <w:basedOn w:val="Tabellanormale"/>
    <w:uiPriority w:val="47"/>
    <w:rsid w:val="002B041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2-colore1">
    <w:name w:val="List Table 2 Accent 1"/>
    <w:basedOn w:val="Tabellanormale"/>
    <w:uiPriority w:val="47"/>
    <w:rsid w:val="002B0416"/>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elenco2-colore2">
    <w:name w:val="List Table 2 Accent 2"/>
    <w:basedOn w:val="Tabellanormale"/>
    <w:uiPriority w:val="47"/>
    <w:rsid w:val="002B0416"/>
    <w:tblPr>
      <w:tblStyleRowBandSize w:val="1"/>
      <w:tblStyleColBandSize w:val="1"/>
      <w:tblBorders>
        <w:top w:val="single" w:sz="4" w:space="0" w:color="38EDFF" w:themeColor="accent2" w:themeTint="99"/>
        <w:bottom w:val="single" w:sz="4" w:space="0" w:color="38EDFF" w:themeColor="accent2" w:themeTint="99"/>
        <w:insideH w:val="single" w:sz="4" w:space="0" w:color="38ED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elenco2-colore3">
    <w:name w:val="List Table 2 Accent 3"/>
    <w:basedOn w:val="Tabellanormale"/>
    <w:uiPriority w:val="47"/>
    <w:rsid w:val="002B0416"/>
    <w:tblPr>
      <w:tblStyleRowBandSize w:val="1"/>
      <w:tblStyleColBandSize w:val="1"/>
      <w:tblBorders>
        <w:top w:val="single" w:sz="4" w:space="0" w:color="FF9691" w:themeColor="accent3" w:themeTint="99"/>
        <w:bottom w:val="single" w:sz="4" w:space="0" w:color="FF9691" w:themeColor="accent3" w:themeTint="99"/>
        <w:insideH w:val="single" w:sz="4" w:space="0" w:color="FF969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elenco2-colore4">
    <w:name w:val="List Table 2 Accent 4"/>
    <w:basedOn w:val="Tabellanormale"/>
    <w:uiPriority w:val="47"/>
    <w:rsid w:val="002B0416"/>
    <w:tblPr>
      <w:tblStyleRowBandSize w:val="1"/>
      <w:tblStyleColBandSize w:val="1"/>
      <w:tblBorders>
        <w:top w:val="single" w:sz="4" w:space="0" w:color="FFD98A" w:themeColor="accent4" w:themeTint="99"/>
        <w:bottom w:val="single" w:sz="4" w:space="0" w:color="FFD98A" w:themeColor="accent4" w:themeTint="99"/>
        <w:insideH w:val="single" w:sz="4" w:space="0" w:color="FFD98A"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elenco2-colore5">
    <w:name w:val="List Table 2 Accent 5"/>
    <w:basedOn w:val="Tabellanormale"/>
    <w:uiPriority w:val="47"/>
    <w:rsid w:val="002B0416"/>
    <w:tblPr>
      <w:tblStyleRowBandSize w:val="1"/>
      <w:tblStyleColBandSize w:val="1"/>
      <w:tblBorders>
        <w:top w:val="single" w:sz="4" w:space="0" w:color="C5A7FF" w:themeColor="accent5" w:themeTint="99"/>
        <w:bottom w:val="single" w:sz="4" w:space="0" w:color="C5A7FF" w:themeColor="accent5" w:themeTint="99"/>
        <w:insideH w:val="single" w:sz="4" w:space="0" w:color="C5A7F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elenco2-colore6">
    <w:name w:val="List Table 2 Accent 6"/>
    <w:basedOn w:val="Tabellanormale"/>
    <w:uiPriority w:val="47"/>
    <w:rsid w:val="002B0416"/>
    <w:tblPr>
      <w:tblStyleRowBandSize w:val="1"/>
      <w:tblStyleColBandSize w:val="1"/>
      <w:tblBorders>
        <w:top w:val="single" w:sz="4" w:space="0" w:color="753ACB" w:themeColor="accent6" w:themeTint="99"/>
        <w:bottom w:val="single" w:sz="4" w:space="0" w:color="753ACB" w:themeColor="accent6" w:themeTint="99"/>
        <w:insideH w:val="single" w:sz="4" w:space="0" w:color="753ACB"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Elencotab3">
    <w:name w:val="List Table 3"/>
    <w:basedOn w:val="Tabellanormale"/>
    <w:uiPriority w:val="48"/>
    <w:rsid w:val="002B041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laelenco3-colore1">
    <w:name w:val="List Table 3 Accent 1"/>
    <w:basedOn w:val="Tabellanormale"/>
    <w:uiPriority w:val="48"/>
    <w:rsid w:val="002B0416"/>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Tabellaelenco3-colore2">
    <w:name w:val="List Table 3 Accent 2"/>
    <w:basedOn w:val="Tabellanormale"/>
    <w:uiPriority w:val="48"/>
    <w:rsid w:val="002B0416"/>
    <w:tblPr>
      <w:tblStyleRowBandSize w:val="1"/>
      <w:tblStyleColBandSize w:val="1"/>
      <w:tblBorders>
        <w:top w:val="single" w:sz="4" w:space="0" w:color="00A4B3" w:themeColor="accent2"/>
        <w:left w:val="single" w:sz="4" w:space="0" w:color="00A4B3" w:themeColor="accent2"/>
        <w:bottom w:val="single" w:sz="4" w:space="0" w:color="00A4B3" w:themeColor="accent2"/>
        <w:right w:val="single" w:sz="4" w:space="0" w:color="00A4B3" w:themeColor="accent2"/>
      </w:tblBorders>
    </w:tblPr>
    <w:tblStylePr w:type="firstRow">
      <w:rPr>
        <w:b/>
        <w:bCs/>
        <w:color w:val="FFFFFF" w:themeColor="background1"/>
      </w:rPr>
      <w:tblPr/>
      <w:tcPr>
        <w:shd w:val="clear" w:color="auto" w:fill="00A4B3" w:themeFill="accent2"/>
      </w:tcPr>
    </w:tblStylePr>
    <w:tblStylePr w:type="lastRow">
      <w:rPr>
        <w:b/>
        <w:bCs/>
      </w:rPr>
      <w:tblPr/>
      <w:tcPr>
        <w:tcBorders>
          <w:top w:val="double" w:sz="4" w:space="0" w:color="00A4B3"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4B3" w:themeColor="accent2"/>
          <w:right w:val="single" w:sz="4" w:space="0" w:color="00A4B3" w:themeColor="accent2"/>
        </w:tcBorders>
      </w:tcPr>
    </w:tblStylePr>
    <w:tblStylePr w:type="band1Horz">
      <w:tblPr/>
      <w:tcPr>
        <w:tcBorders>
          <w:top w:val="single" w:sz="4" w:space="0" w:color="00A4B3" w:themeColor="accent2"/>
          <w:bottom w:val="single" w:sz="4" w:space="0" w:color="00A4B3"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4B3" w:themeColor="accent2"/>
          <w:left w:val="nil"/>
        </w:tcBorders>
      </w:tcPr>
    </w:tblStylePr>
    <w:tblStylePr w:type="swCell">
      <w:tblPr/>
      <w:tcPr>
        <w:tcBorders>
          <w:top w:val="double" w:sz="4" w:space="0" w:color="00A4B3" w:themeColor="accent2"/>
          <w:right w:val="nil"/>
        </w:tcBorders>
      </w:tcPr>
    </w:tblStylePr>
  </w:style>
  <w:style w:type="table" w:styleId="Tabellaelenco3-colore3">
    <w:name w:val="List Table 3 Accent 3"/>
    <w:basedOn w:val="Tabellanormale"/>
    <w:uiPriority w:val="48"/>
    <w:rsid w:val="002B0416"/>
    <w:tblPr>
      <w:tblStyleRowBandSize w:val="1"/>
      <w:tblStyleColBandSize w:val="1"/>
      <w:tblBorders>
        <w:top w:val="single" w:sz="4" w:space="0" w:color="FF5149" w:themeColor="accent3"/>
        <w:left w:val="single" w:sz="4" w:space="0" w:color="FF5149" w:themeColor="accent3"/>
        <w:bottom w:val="single" w:sz="4" w:space="0" w:color="FF5149" w:themeColor="accent3"/>
        <w:right w:val="single" w:sz="4" w:space="0" w:color="FF5149" w:themeColor="accent3"/>
      </w:tblBorders>
    </w:tblPr>
    <w:tblStylePr w:type="firstRow">
      <w:rPr>
        <w:b/>
        <w:bCs/>
        <w:color w:val="FFFFFF" w:themeColor="background1"/>
      </w:rPr>
      <w:tblPr/>
      <w:tcPr>
        <w:shd w:val="clear" w:color="auto" w:fill="FF5149" w:themeFill="accent3"/>
      </w:tcPr>
    </w:tblStylePr>
    <w:tblStylePr w:type="lastRow">
      <w:rPr>
        <w:b/>
        <w:bCs/>
      </w:rPr>
      <w:tblPr/>
      <w:tcPr>
        <w:tcBorders>
          <w:top w:val="double" w:sz="4" w:space="0" w:color="FF514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5149" w:themeColor="accent3"/>
          <w:right w:val="single" w:sz="4" w:space="0" w:color="FF5149" w:themeColor="accent3"/>
        </w:tcBorders>
      </w:tcPr>
    </w:tblStylePr>
    <w:tblStylePr w:type="band1Horz">
      <w:tblPr/>
      <w:tcPr>
        <w:tcBorders>
          <w:top w:val="single" w:sz="4" w:space="0" w:color="FF5149" w:themeColor="accent3"/>
          <w:bottom w:val="single" w:sz="4" w:space="0" w:color="FF514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5149" w:themeColor="accent3"/>
          <w:left w:val="nil"/>
        </w:tcBorders>
      </w:tcPr>
    </w:tblStylePr>
    <w:tblStylePr w:type="swCell">
      <w:tblPr/>
      <w:tcPr>
        <w:tcBorders>
          <w:top w:val="double" w:sz="4" w:space="0" w:color="FF5149" w:themeColor="accent3"/>
          <w:right w:val="nil"/>
        </w:tcBorders>
      </w:tcPr>
    </w:tblStylePr>
  </w:style>
  <w:style w:type="table" w:styleId="Tabellaelenco3-colore4">
    <w:name w:val="List Table 3 Accent 4"/>
    <w:basedOn w:val="Tabellanormale"/>
    <w:uiPriority w:val="48"/>
    <w:rsid w:val="002B0416"/>
    <w:tblPr>
      <w:tblStyleRowBandSize w:val="1"/>
      <w:tblStyleColBandSize w:val="1"/>
      <w:tblBorders>
        <w:top w:val="single" w:sz="4" w:space="0" w:color="FFC23D" w:themeColor="accent4"/>
        <w:left w:val="single" w:sz="4" w:space="0" w:color="FFC23D" w:themeColor="accent4"/>
        <w:bottom w:val="single" w:sz="4" w:space="0" w:color="FFC23D" w:themeColor="accent4"/>
        <w:right w:val="single" w:sz="4" w:space="0" w:color="FFC23D" w:themeColor="accent4"/>
      </w:tblBorders>
    </w:tblPr>
    <w:tblStylePr w:type="firstRow">
      <w:rPr>
        <w:b/>
        <w:bCs/>
        <w:color w:val="FFFFFF" w:themeColor="background1"/>
      </w:rPr>
      <w:tblPr/>
      <w:tcPr>
        <w:shd w:val="clear" w:color="auto" w:fill="FFC23D" w:themeFill="accent4"/>
      </w:tcPr>
    </w:tblStylePr>
    <w:tblStylePr w:type="lastRow">
      <w:rPr>
        <w:b/>
        <w:bCs/>
      </w:rPr>
      <w:tblPr/>
      <w:tcPr>
        <w:tcBorders>
          <w:top w:val="double" w:sz="4" w:space="0" w:color="FFC23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23D" w:themeColor="accent4"/>
          <w:right w:val="single" w:sz="4" w:space="0" w:color="FFC23D" w:themeColor="accent4"/>
        </w:tcBorders>
      </w:tcPr>
    </w:tblStylePr>
    <w:tblStylePr w:type="band1Horz">
      <w:tblPr/>
      <w:tcPr>
        <w:tcBorders>
          <w:top w:val="single" w:sz="4" w:space="0" w:color="FFC23D" w:themeColor="accent4"/>
          <w:bottom w:val="single" w:sz="4" w:space="0" w:color="FFC23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23D" w:themeColor="accent4"/>
          <w:left w:val="nil"/>
        </w:tcBorders>
      </w:tcPr>
    </w:tblStylePr>
    <w:tblStylePr w:type="swCell">
      <w:tblPr/>
      <w:tcPr>
        <w:tcBorders>
          <w:top w:val="double" w:sz="4" w:space="0" w:color="FFC23D" w:themeColor="accent4"/>
          <w:right w:val="nil"/>
        </w:tcBorders>
      </w:tcPr>
    </w:tblStylePr>
  </w:style>
  <w:style w:type="table" w:styleId="Tabellaelenco3-colore5">
    <w:name w:val="List Table 3 Accent 5"/>
    <w:basedOn w:val="Tabellanormale"/>
    <w:uiPriority w:val="48"/>
    <w:rsid w:val="002B0416"/>
    <w:tblPr>
      <w:tblStyleRowBandSize w:val="1"/>
      <w:tblStyleColBandSize w:val="1"/>
      <w:tblBorders>
        <w:top w:val="single" w:sz="4" w:space="0" w:color="A06DFF" w:themeColor="accent5"/>
        <w:left w:val="single" w:sz="4" w:space="0" w:color="A06DFF" w:themeColor="accent5"/>
        <w:bottom w:val="single" w:sz="4" w:space="0" w:color="A06DFF" w:themeColor="accent5"/>
        <w:right w:val="single" w:sz="4" w:space="0" w:color="A06DFF" w:themeColor="accent5"/>
      </w:tblBorders>
    </w:tblPr>
    <w:tblStylePr w:type="firstRow">
      <w:rPr>
        <w:b/>
        <w:bCs/>
        <w:color w:val="FFFFFF" w:themeColor="background1"/>
      </w:rPr>
      <w:tblPr/>
      <w:tcPr>
        <w:shd w:val="clear" w:color="auto" w:fill="A06DFF" w:themeFill="accent5"/>
      </w:tcPr>
    </w:tblStylePr>
    <w:tblStylePr w:type="lastRow">
      <w:rPr>
        <w:b/>
        <w:bCs/>
      </w:rPr>
      <w:tblPr/>
      <w:tcPr>
        <w:tcBorders>
          <w:top w:val="double" w:sz="4" w:space="0" w:color="A06DF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6DFF" w:themeColor="accent5"/>
          <w:right w:val="single" w:sz="4" w:space="0" w:color="A06DFF" w:themeColor="accent5"/>
        </w:tcBorders>
      </w:tcPr>
    </w:tblStylePr>
    <w:tblStylePr w:type="band1Horz">
      <w:tblPr/>
      <w:tcPr>
        <w:tcBorders>
          <w:top w:val="single" w:sz="4" w:space="0" w:color="A06DFF" w:themeColor="accent5"/>
          <w:bottom w:val="single" w:sz="4" w:space="0" w:color="A06DF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6DFF" w:themeColor="accent5"/>
          <w:left w:val="nil"/>
        </w:tcBorders>
      </w:tcPr>
    </w:tblStylePr>
    <w:tblStylePr w:type="swCell">
      <w:tblPr/>
      <w:tcPr>
        <w:tcBorders>
          <w:top w:val="double" w:sz="4" w:space="0" w:color="A06DFF" w:themeColor="accent5"/>
          <w:right w:val="nil"/>
        </w:tcBorders>
      </w:tcPr>
    </w:tblStylePr>
  </w:style>
  <w:style w:type="table" w:styleId="Tabellaelenco3-colore6">
    <w:name w:val="List Table 3 Accent 6"/>
    <w:basedOn w:val="Tabellanormale"/>
    <w:uiPriority w:val="48"/>
    <w:rsid w:val="002B0416"/>
    <w:tblPr>
      <w:tblStyleRowBandSize w:val="1"/>
      <w:tblStyleColBandSize w:val="1"/>
      <w:tblBorders>
        <w:top w:val="single" w:sz="4" w:space="0" w:color="2B144C" w:themeColor="accent6"/>
        <w:left w:val="single" w:sz="4" w:space="0" w:color="2B144C" w:themeColor="accent6"/>
        <w:bottom w:val="single" w:sz="4" w:space="0" w:color="2B144C" w:themeColor="accent6"/>
        <w:right w:val="single" w:sz="4" w:space="0" w:color="2B144C" w:themeColor="accent6"/>
      </w:tblBorders>
    </w:tblPr>
    <w:tblStylePr w:type="firstRow">
      <w:rPr>
        <w:b/>
        <w:bCs/>
        <w:color w:val="FFFFFF" w:themeColor="background1"/>
      </w:rPr>
      <w:tblPr/>
      <w:tcPr>
        <w:shd w:val="clear" w:color="auto" w:fill="2B144C" w:themeFill="accent6"/>
      </w:tcPr>
    </w:tblStylePr>
    <w:tblStylePr w:type="lastRow">
      <w:rPr>
        <w:b/>
        <w:bCs/>
      </w:rPr>
      <w:tblPr/>
      <w:tcPr>
        <w:tcBorders>
          <w:top w:val="double" w:sz="4" w:space="0" w:color="2B144C"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B144C" w:themeColor="accent6"/>
          <w:right w:val="single" w:sz="4" w:space="0" w:color="2B144C" w:themeColor="accent6"/>
        </w:tcBorders>
      </w:tcPr>
    </w:tblStylePr>
    <w:tblStylePr w:type="band1Horz">
      <w:tblPr/>
      <w:tcPr>
        <w:tcBorders>
          <w:top w:val="single" w:sz="4" w:space="0" w:color="2B144C" w:themeColor="accent6"/>
          <w:bottom w:val="single" w:sz="4" w:space="0" w:color="2B144C"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B144C" w:themeColor="accent6"/>
          <w:left w:val="nil"/>
        </w:tcBorders>
      </w:tcPr>
    </w:tblStylePr>
    <w:tblStylePr w:type="swCell">
      <w:tblPr/>
      <w:tcPr>
        <w:tcBorders>
          <w:top w:val="double" w:sz="4" w:space="0" w:color="2B144C" w:themeColor="accent6"/>
          <w:right w:val="nil"/>
        </w:tcBorders>
      </w:tcPr>
    </w:tblStylePr>
  </w:style>
  <w:style w:type="table" w:styleId="Elencotab4">
    <w:name w:val="List Table 4"/>
    <w:basedOn w:val="Tabellanormale"/>
    <w:uiPriority w:val="49"/>
    <w:rsid w:val="002B041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4-colore1">
    <w:name w:val="List Table 4 Accent 1"/>
    <w:basedOn w:val="Tabellanormale"/>
    <w:uiPriority w:val="49"/>
    <w:rsid w:val="002B0416"/>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elenco4-colore2">
    <w:name w:val="List Table 4 Accent 2"/>
    <w:basedOn w:val="Tabellanormale"/>
    <w:uiPriority w:val="49"/>
    <w:rsid w:val="002B0416"/>
    <w:tblPr>
      <w:tblStyleRowBandSize w:val="1"/>
      <w:tblStyleColBandSize w:val="1"/>
      <w:tblBorders>
        <w:top w:val="single" w:sz="4" w:space="0" w:color="38EDFF" w:themeColor="accent2" w:themeTint="99"/>
        <w:left w:val="single" w:sz="4" w:space="0" w:color="38EDFF" w:themeColor="accent2" w:themeTint="99"/>
        <w:bottom w:val="single" w:sz="4" w:space="0" w:color="38EDFF" w:themeColor="accent2" w:themeTint="99"/>
        <w:right w:val="single" w:sz="4" w:space="0" w:color="38EDFF" w:themeColor="accent2" w:themeTint="99"/>
        <w:insideH w:val="single" w:sz="4" w:space="0" w:color="38EDFF" w:themeColor="accent2" w:themeTint="99"/>
      </w:tblBorders>
    </w:tblPr>
    <w:tblStylePr w:type="firstRow">
      <w:rPr>
        <w:b/>
        <w:bCs/>
        <w:color w:val="FFFFFF" w:themeColor="background1"/>
      </w:rPr>
      <w:tblPr/>
      <w:tcPr>
        <w:tcBorders>
          <w:top w:val="single" w:sz="4" w:space="0" w:color="00A4B3" w:themeColor="accent2"/>
          <w:left w:val="single" w:sz="4" w:space="0" w:color="00A4B3" w:themeColor="accent2"/>
          <w:bottom w:val="single" w:sz="4" w:space="0" w:color="00A4B3" w:themeColor="accent2"/>
          <w:right w:val="single" w:sz="4" w:space="0" w:color="00A4B3" w:themeColor="accent2"/>
          <w:insideH w:val="nil"/>
        </w:tcBorders>
        <w:shd w:val="clear" w:color="auto" w:fill="00A4B3" w:themeFill="accent2"/>
      </w:tcPr>
    </w:tblStylePr>
    <w:tblStylePr w:type="lastRow">
      <w:rPr>
        <w:b/>
        <w:bCs/>
      </w:rPr>
      <w:tblPr/>
      <w:tcPr>
        <w:tcBorders>
          <w:top w:val="double" w:sz="4" w:space="0" w:color="38EDFF" w:themeColor="accent2" w:themeTint="99"/>
        </w:tcBorders>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elenco4-colore3">
    <w:name w:val="List Table 4 Accent 3"/>
    <w:basedOn w:val="Tabellanormale"/>
    <w:uiPriority w:val="49"/>
    <w:rsid w:val="002B0416"/>
    <w:tblPr>
      <w:tblStyleRowBandSize w:val="1"/>
      <w:tblStyleColBandSize w:val="1"/>
      <w:tblBorders>
        <w:top w:val="single" w:sz="4" w:space="0" w:color="FF9691" w:themeColor="accent3" w:themeTint="99"/>
        <w:left w:val="single" w:sz="4" w:space="0" w:color="FF9691" w:themeColor="accent3" w:themeTint="99"/>
        <w:bottom w:val="single" w:sz="4" w:space="0" w:color="FF9691" w:themeColor="accent3" w:themeTint="99"/>
        <w:right w:val="single" w:sz="4" w:space="0" w:color="FF9691" w:themeColor="accent3" w:themeTint="99"/>
        <w:insideH w:val="single" w:sz="4" w:space="0" w:color="FF9691" w:themeColor="accent3" w:themeTint="99"/>
      </w:tblBorders>
    </w:tblPr>
    <w:tblStylePr w:type="firstRow">
      <w:rPr>
        <w:b/>
        <w:bCs/>
        <w:color w:val="FFFFFF" w:themeColor="background1"/>
      </w:rPr>
      <w:tblPr/>
      <w:tcPr>
        <w:tcBorders>
          <w:top w:val="single" w:sz="4" w:space="0" w:color="FF5149" w:themeColor="accent3"/>
          <w:left w:val="single" w:sz="4" w:space="0" w:color="FF5149" w:themeColor="accent3"/>
          <w:bottom w:val="single" w:sz="4" w:space="0" w:color="FF5149" w:themeColor="accent3"/>
          <w:right w:val="single" w:sz="4" w:space="0" w:color="FF5149" w:themeColor="accent3"/>
          <w:insideH w:val="nil"/>
        </w:tcBorders>
        <w:shd w:val="clear" w:color="auto" w:fill="FF5149" w:themeFill="accent3"/>
      </w:tcPr>
    </w:tblStylePr>
    <w:tblStylePr w:type="lastRow">
      <w:rPr>
        <w:b/>
        <w:bCs/>
      </w:rPr>
      <w:tblPr/>
      <w:tcPr>
        <w:tcBorders>
          <w:top w:val="double" w:sz="4" w:space="0" w:color="FF9691" w:themeColor="accent3" w:themeTint="99"/>
        </w:tcBorders>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elenco4-colore4">
    <w:name w:val="List Table 4 Accent 4"/>
    <w:basedOn w:val="Tabellanormale"/>
    <w:uiPriority w:val="49"/>
    <w:rsid w:val="002B0416"/>
    <w:tblPr>
      <w:tblStyleRowBandSize w:val="1"/>
      <w:tblStyleColBandSize w:val="1"/>
      <w:tblBorders>
        <w:top w:val="single" w:sz="4" w:space="0" w:color="FFD98A" w:themeColor="accent4" w:themeTint="99"/>
        <w:left w:val="single" w:sz="4" w:space="0" w:color="FFD98A" w:themeColor="accent4" w:themeTint="99"/>
        <w:bottom w:val="single" w:sz="4" w:space="0" w:color="FFD98A" w:themeColor="accent4" w:themeTint="99"/>
        <w:right w:val="single" w:sz="4" w:space="0" w:color="FFD98A" w:themeColor="accent4" w:themeTint="99"/>
        <w:insideH w:val="single" w:sz="4" w:space="0" w:color="FFD98A" w:themeColor="accent4" w:themeTint="99"/>
      </w:tblBorders>
    </w:tblPr>
    <w:tblStylePr w:type="firstRow">
      <w:rPr>
        <w:b/>
        <w:bCs/>
        <w:color w:val="FFFFFF" w:themeColor="background1"/>
      </w:rPr>
      <w:tblPr/>
      <w:tcPr>
        <w:tcBorders>
          <w:top w:val="single" w:sz="4" w:space="0" w:color="FFC23D" w:themeColor="accent4"/>
          <w:left w:val="single" w:sz="4" w:space="0" w:color="FFC23D" w:themeColor="accent4"/>
          <w:bottom w:val="single" w:sz="4" w:space="0" w:color="FFC23D" w:themeColor="accent4"/>
          <w:right w:val="single" w:sz="4" w:space="0" w:color="FFC23D" w:themeColor="accent4"/>
          <w:insideH w:val="nil"/>
        </w:tcBorders>
        <w:shd w:val="clear" w:color="auto" w:fill="FFC23D" w:themeFill="accent4"/>
      </w:tcPr>
    </w:tblStylePr>
    <w:tblStylePr w:type="lastRow">
      <w:rPr>
        <w:b/>
        <w:bCs/>
      </w:rPr>
      <w:tblPr/>
      <w:tcPr>
        <w:tcBorders>
          <w:top w:val="double" w:sz="4" w:space="0" w:color="FFD98A" w:themeColor="accent4" w:themeTint="99"/>
        </w:tcBorders>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elenco4-colore5">
    <w:name w:val="List Table 4 Accent 5"/>
    <w:basedOn w:val="Tabellanormale"/>
    <w:uiPriority w:val="49"/>
    <w:rsid w:val="002B0416"/>
    <w:tblPr>
      <w:tblStyleRowBandSize w:val="1"/>
      <w:tblStyleColBandSize w:val="1"/>
      <w:tblBorders>
        <w:top w:val="single" w:sz="4" w:space="0" w:color="C5A7FF" w:themeColor="accent5" w:themeTint="99"/>
        <w:left w:val="single" w:sz="4" w:space="0" w:color="C5A7FF" w:themeColor="accent5" w:themeTint="99"/>
        <w:bottom w:val="single" w:sz="4" w:space="0" w:color="C5A7FF" w:themeColor="accent5" w:themeTint="99"/>
        <w:right w:val="single" w:sz="4" w:space="0" w:color="C5A7FF" w:themeColor="accent5" w:themeTint="99"/>
        <w:insideH w:val="single" w:sz="4" w:space="0" w:color="C5A7FF" w:themeColor="accent5" w:themeTint="99"/>
      </w:tblBorders>
    </w:tblPr>
    <w:tblStylePr w:type="firstRow">
      <w:rPr>
        <w:b/>
        <w:bCs/>
        <w:color w:val="FFFFFF" w:themeColor="background1"/>
      </w:rPr>
      <w:tblPr/>
      <w:tcPr>
        <w:tcBorders>
          <w:top w:val="single" w:sz="4" w:space="0" w:color="A06DFF" w:themeColor="accent5"/>
          <w:left w:val="single" w:sz="4" w:space="0" w:color="A06DFF" w:themeColor="accent5"/>
          <w:bottom w:val="single" w:sz="4" w:space="0" w:color="A06DFF" w:themeColor="accent5"/>
          <w:right w:val="single" w:sz="4" w:space="0" w:color="A06DFF" w:themeColor="accent5"/>
          <w:insideH w:val="nil"/>
        </w:tcBorders>
        <w:shd w:val="clear" w:color="auto" w:fill="A06DFF" w:themeFill="accent5"/>
      </w:tcPr>
    </w:tblStylePr>
    <w:tblStylePr w:type="lastRow">
      <w:rPr>
        <w:b/>
        <w:bCs/>
      </w:rPr>
      <w:tblPr/>
      <w:tcPr>
        <w:tcBorders>
          <w:top w:val="double" w:sz="4" w:space="0" w:color="C5A7FF" w:themeColor="accent5" w:themeTint="99"/>
        </w:tcBorders>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elenco4-colore6">
    <w:name w:val="List Table 4 Accent 6"/>
    <w:basedOn w:val="Tabellanormale"/>
    <w:uiPriority w:val="49"/>
    <w:rsid w:val="002B0416"/>
    <w:tblPr>
      <w:tblStyleRowBandSize w:val="1"/>
      <w:tblStyleColBandSize w:val="1"/>
      <w:tblBorders>
        <w:top w:val="single" w:sz="4" w:space="0" w:color="753ACB" w:themeColor="accent6" w:themeTint="99"/>
        <w:left w:val="single" w:sz="4" w:space="0" w:color="753ACB" w:themeColor="accent6" w:themeTint="99"/>
        <w:bottom w:val="single" w:sz="4" w:space="0" w:color="753ACB" w:themeColor="accent6" w:themeTint="99"/>
        <w:right w:val="single" w:sz="4" w:space="0" w:color="753ACB" w:themeColor="accent6" w:themeTint="99"/>
        <w:insideH w:val="single" w:sz="4" w:space="0" w:color="753ACB" w:themeColor="accent6" w:themeTint="99"/>
      </w:tblBorders>
    </w:tblPr>
    <w:tblStylePr w:type="firstRow">
      <w:rPr>
        <w:b/>
        <w:bCs/>
        <w:color w:val="FFFFFF" w:themeColor="background1"/>
      </w:rPr>
      <w:tblPr/>
      <w:tcPr>
        <w:tcBorders>
          <w:top w:val="single" w:sz="4" w:space="0" w:color="2B144C" w:themeColor="accent6"/>
          <w:left w:val="single" w:sz="4" w:space="0" w:color="2B144C" w:themeColor="accent6"/>
          <w:bottom w:val="single" w:sz="4" w:space="0" w:color="2B144C" w:themeColor="accent6"/>
          <w:right w:val="single" w:sz="4" w:space="0" w:color="2B144C" w:themeColor="accent6"/>
          <w:insideH w:val="nil"/>
        </w:tcBorders>
        <w:shd w:val="clear" w:color="auto" w:fill="2B144C" w:themeFill="accent6"/>
      </w:tcPr>
    </w:tblStylePr>
    <w:tblStylePr w:type="lastRow">
      <w:rPr>
        <w:b/>
        <w:bCs/>
      </w:rPr>
      <w:tblPr/>
      <w:tcPr>
        <w:tcBorders>
          <w:top w:val="double" w:sz="4" w:space="0" w:color="753ACB" w:themeColor="accent6" w:themeTint="99"/>
        </w:tcBorders>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Tabellaelenco5scura">
    <w:name w:val="List Table 5 Dark"/>
    <w:basedOn w:val="Tabellanormale"/>
    <w:uiPriority w:val="50"/>
    <w:rsid w:val="002B041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1">
    <w:name w:val="List Table 5 Dark Accent 1"/>
    <w:basedOn w:val="Tabellanormale"/>
    <w:uiPriority w:val="50"/>
    <w:rsid w:val="002B0416"/>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2">
    <w:name w:val="List Table 5 Dark Accent 2"/>
    <w:basedOn w:val="Tabellanormale"/>
    <w:uiPriority w:val="50"/>
    <w:rsid w:val="002B0416"/>
    <w:rPr>
      <w:color w:val="FFFFFF" w:themeColor="background1"/>
    </w:rPr>
    <w:tblPr>
      <w:tblStyleRowBandSize w:val="1"/>
      <w:tblStyleColBandSize w:val="1"/>
      <w:tblBorders>
        <w:top w:val="single" w:sz="24" w:space="0" w:color="00A4B3" w:themeColor="accent2"/>
        <w:left w:val="single" w:sz="24" w:space="0" w:color="00A4B3" w:themeColor="accent2"/>
        <w:bottom w:val="single" w:sz="24" w:space="0" w:color="00A4B3" w:themeColor="accent2"/>
        <w:right w:val="single" w:sz="24" w:space="0" w:color="00A4B3" w:themeColor="accent2"/>
      </w:tblBorders>
    </w:tblPr>
    <w:tcPr>
      <w:shd w:val="clear" w:color="auto" w:fill="00A4B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3">
    <w:name w:val="List Table 5 Dark Accent 3"/>
    <w:basedOn w:val="Tabellanormale"/>
    <w:uiPriority w:val="50"/>
    <w:rsid w:val="002B0416"/>
    <w:rPr>
      <w:color w:val="FFFFFF" w:themeColor="background1"/>
    </w:rPr>
    <w:tblPr>
      <w:tblStyleRowBandSize w:val="1"/>
      <w:tblStyleColBandSize w:val="1"/>
      <w:tblBorders>
        <w:top w:val="single" w:sz="24" w:space="0" w:color="FF5149" w:themeColor="accent3"/>
        <w:left w:val="single" w:sz="24" w:space="0" w:color="FF5149" w:themeColor="accent3"/>
        <w:bottom w:val="single" w:sz="24" w:space="0" w:color="FF5149" w:themeColor="accent3"/>
        <w:right w:val="single" w:sz="24" w:space="0" w:color="FF5149" w:themeColor="accent3"/>
      </w:tblBorders>
    </w:tblPr>
    <w:tcPr>
      <w:shd w:val="clear" w:color="auto" w:fill="FF514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4">
    <w:name w:val="List Table 5 Dark Accent 4"/>
    <w:basedOn w:val="Tabellanormale"/>
    <w:uiPriority w:val="50"/>
    <w:rsid w:val="002B0416"/>
    <w:rPr>
      <w:color w:val="FFFFFF" w:themeColor="background1"/>
    </w:rPr>
    <w:tblPr>
      <w:tblStyleRowBandSize w:val="1"/>
      <w:tblStyleColBandSize w:val="1"/>
      <w:tblBorders>
        <w:top w:val="single" w:sz="24" w:space="0" w:color="FFC23D" w:themeColor="accent4"/>
        <w:left w:val="single" w:sz="24" w:space="0" w:color="FFC23D" w:themeColor="accent4"/>
        <w:bottom w:val="single" w:sz="24" w:space="0" w:color="FFC23D" w:themeColor="accent4"/>
        <w:right w:val="single" w:sz="24" w:space="0" w:color="FFC23D" w:themeColor="accent4"/>
      </w:tblBorders>
    </w:tblPr>
    <w:tcPr>
      <w:shd w:val="clear" w:color="auto" w:fill="FFC23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5">
    <w:name w:val="List Table 5 Dark Accent 5"/>
    <w:basedOn w:val="Tabellanormale"/>
    <w:uiPriority w:val="50"/>
    <w:rsid w:val="002B0416"/>
    <w:rPr>
      <w:color w:val="FFFFFF" w:themeColor="background1"/>
    </w:rPr>
    <w:tblPr>
      <w:tblStyleRowBandSize w:val="1"/>
      <w:tblStyleColBandSize w:val="1"/>
      <w:tblBorders>
        <w:top w:val="single" w:sz="24" w:space="0" w:color="A06DFF" w:themeColor="accent5"/>
        <w:left w:val="single" w:sz="24" w:space="0" w:color="A06DFF" w:themeColor="accent5"/>
        <w:bottom w:val="single" w:sz="24" w:space="0" w:color="A06DFF" w:themeColor="accent5"/>
        <w:right w:val="single" w:sz="24" w:space="0" w:color="A06DFF" w:themeColor="accent5"/>
      </w:tblBorders>
    </w:tblPr>
    <w:tcPr>
      <w:shd w:val="clear" w:color="auto" w:fill="A06DFF"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5scura-colore6">
    <w:name w:val="List Table 5 Dark Accent 6"/>
    <w:basedOn w:val="Tabellanormale"/>
    <w:uiPriority w:val="50"/>
    <w:rsid w:val="002B0416"/>
    <w:rPr>
      <w:color w:val="FFFFFF" w:themeColor="background1"/>
    </w:rPr>
    <w:tblPr>
      <w:tblStyleRowBandSize w:val="1"/>
      <w:tblStyleColBandSize w:val="1"/>
      <w:tblBorders>
        <w:top w:val="single" w:sz="24" w:space="0" w:color="2B144C" w:themeColor="accent6"/>
        <w:left w:val="single" w:sz="24" w:space="0" w:color="2B144C" w:themeColor="accent6"/>
        <w:bottom w:val="single" w:sz="24" w:space="0" w:color="2B144C" w:themeColor="accent6"/>
        <w:right w:val="single" w:sz="24" w:space="0" w:color="2B144C" w:themeColor="accent6"/>
      </w:tblBorders>
    </w:tblPr>
    <w:tcPr>
      <w:shd w:val="clear" w:color="auto" w:fill="2B144C"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aelenco6acolori">
    <w:name w:val="List Table 6 Colorful"/>
    <w:basedOn w:val="Tabellanormale"/>
    <w:uiPriority w:val="51"/>
    <w:rsid w:val="002B041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6acolori-colore1">
    <w:name w:val="List Table 6 Colorful Accent 1"/>
    <w:basedOn w:val="Tabellanormale"/>
    <w:uiPriority w:val="51"/>
    <w:rsid w:val="002B0416"/>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Tabellaelenco6acolori-colore2">
    <w:name w:val="List Table 6 Colorful Accent 2"/>
    <w:basedOn w:val="Tabellanormale"/>
    <w:uiPriority w:val="51"/>
    <w:rsid w:val="002B0416"/>
    <w:rPr>
      <w:color w:val="007A86" w:themeColor="accent2" w:themeShade="BF"/>
    </w:rPr>
    <w:tblPr>
      <w:tblStyleRowBandSize w:val="1"/>
      <w:tblStyleColBandSize w:val="1"/>
      <w:tblBorders>
        <w:top w:val="single" w:sz="4" w:space="0" w:color="00A4B3" w:themeColor="accent2"/>
        <w:bottom w:val="single" w:sz="4" w:space="0" w:color="00A4B3" w:themeColor="accent2"/>
      </w:tblBorders>
    </w:tblPr>
    <w:tblStylePr w:type="firstRow">
      <w:rPr>
        <w:b/>
        <w:bCs/>
      </w:rPr>
      <w:tblPr/>
      <w:tcPr>
        <w:tcBorders>
          <w:bottom w:val="single" w:sz="4" w:space="0" w:color="00A4B3" w:themeColor="accent2"/>
        </w:tcBorders>
      </w:tcPr>
    </w:tblStylePr>
    <w:tblStylePr w:type="lastRow">
      <w:rPr>
        <w:b/>
        <w:bCs/>
      </w:rPr>
      <w:tblPr/>
      <w:tcPr>
        <w:tcBorders>
          <w:top w:val="double" w:sz="4" w:space="0" w:color="00A4B3" w:themeColor="accent2"/>
        </w:tcBorders>
      </w:tcPr>
    </w:tblStylePr>
    <w:tblStylePr w:type="firstCol">
      <w:rPr>
        <w:b/>
        <w:bCs/>
      </w:rPr>
    </w:tblStylePr>
    <w:tblStylePr w:type="lastCol">
      <w:rPr>
        <w:b/>
        <w:bCs/>
      </w:rPr>
    </w:tblStylePr>
    <w:tblStylePr w:type="band1Vert">
      <w:tblPr/>
      <w:tcPr>
        <w:shd w:val="clear" w:color="auto" w:fill="BCF9FF" w:themeFill="accent2" w:themeFillTint="33"/>
      </w:tcPr>
    </w:tblStylePr>
    <w:tblStylePr w:type="band1Horz">
      <w:tblPr/>
      <w:tcPr>
        <w:shd w:val="clear" w:color="auto" w:fill="BCF9FF" w:themeFill="accent2" w:themeFillTint="33"/>
      </w:tcPr>
    </w:tblStylePr>
  </w:style>
  <w:style w:type="table" w:styleId="Tabellaelenco6acolori-colore3">
    <w:name w:val="List Table 6 Colorful Accent 3"/>
    <w:basedOn w:val="Tabellanormale"/>
    <w:uiPriority w:val="51"/>
    <w:rsid w:val="002B0416"/>
    <w:rPr>
      <w:color w:val="F50A00" w:themeColor="accent3" w:themeShade="BF"/>
    </w:rPr>
    <w:tblPr>
      <w:tblStyleRowBandSize w:val="1"/>
      <w:tblStyleColBandSize w:val="1"/>
      <w:tblBorders>
        <w:top w:val="single" w:sz="4" w:space="0" w:color="FF5149" w:themeColor="accent3"/>
        <w:bottom w:val="single" w:sz="4" w:space="0" w:color="FF5149" w:themeColor="accent3"/>
      </w:tblBorders>
    </w:tblPr>
    <w:tblStylePr w:type="firstRow">
      <w:rPr>
        <w:b/>
        <w:bCs/>
      </w:rPr>
      <w:tblPr/>
      <w:tcPr>
        <w:tcBorders>
          <w:bottom w:val="single" w:sz="4" w:space="0" w:color="FF5149" w:themeColor="accent3"/>
        </w:tcBorders>
      </w:tcPr>
    </w:tblStylePr>
    <w:tblStylePr w:type="lastRow">
      <w:rPr>
        <w:b/>
        <w:bCs/>
      </w:rPr>
      <w:tblPr/>
      <w:tcPr>
        <w:tcBorders>
          <w:top w:val="double" w:sz="4" w:space="0" w:color="FF5149" w:themeColor="accent3"/>
        </w:tcBorders>
      </w:tcPr>
    </w:tblStylePr>
    <w:tblStylePr w:type="firstCol">
      <w:rPr>
        <w:b/>
        <w:bCs/>
      </w:rPr>
    </w:tblStylePr>
    <w:tblStylePr w:type="lastCol">
      <w:rPr>
        <w:b/>
        <w:bCs/>
      </w:rPr>
    </w:tblStylePr>
    <w:tblStylePr w:type="band1Vert">
      <w:tblPr/>
      <w:tcPr>
        <w:shd w:val="clear" w:color="auto" w:fill="FFDBDA" w:themeFill="accent3" w:themeFillTint="33"/>
      </w:tcPr>
    </w:tblStylePr>
    <w:tblStylePr w:type="band1Horz">
      <w:tblPr/>
      <w:tcPr>
        <w:shd w:val="clear" w:color="auto" w:fill="FFDBDA" w:themeFill="accent3" w:themeFillTint="33"/>
      </w:tcPr>
    </w:tblStylePr>
  </w:style>
  <w:style w:type="table" w:styleId="Tabellaelenco6acolori-colore4">
    <w:name w:val="List Table 6 Colorful Accent 4"/>
    <w:basedOn w:val="Tabellanormale"/>
    <w:uiPriority w:val="51"/>
    <w:rsid w:val="002B0416"/>
    <w:rPr>
      <w:color w:val="ECA100" w:themeColor="accent4" w:themeShade="BF"/>
    </w:rPr>
    <w:tblPr>
      <w:tblStyleRowBandSize w:val="1"/>
      <w:tblStyleColBandSize w:val="1"/>
      <w:tblBorders>
        <w:top w:val="single" w:sz="4" w:space="0" w:color="FFC23D" w:themeColor="accent4"/>
        <w:bottom w:val="single" w:sz="4" w:space="0" w:color="FFC23D" w:themeColor="accent4"/>
      </w:tblBorders>
    </w:tblPr>
    <w:tblStylePr w:type="firstRow">
      <w:rPr>
        <w:b/>
        <w:bCs/>
      </w:rPr>
      <w:tblPr/>
      <w:tcPr>
        <w:tcBorders>
          <w:bottom w:val="single" w:sz="4" w:space="0" w:color="FFC23D" w:themeColor="accent4"/>
        </w:tcBorders>
      </w:tcPr>
    </w:tblStylePr>
    <w:tblStylePr w:type="lastRow">
      <w:rPr>
        <w:b/>
        <w:bCs/>
      </w:rPr>
      <w:tblPr/>
      <w:tcPr>
        <w:tcBorders>
          <w:top w:val="double" w:sz="4" w:space="0" w:color="FFC23D" w:themeColor="accent4"/>
        </w:tcBorders>
      </w:tcPr>
    </w:tblStylePr>
    <w:tblStylePr w:type="firstCol">
      <w:rPr>
        <w:b/>
        <w:bCs/>
      </w:rPr>
    </w:tblStylePr>
    <w:tblStylePr w:type="lastCol">
      <w:rPr>
        <w:b/>
        <w:bCs/>
      </w:rPr>
    </w:tblStylePr>
    <w:tblStylePr w:type="band1Vert">
      <w:tblPr/>
      <w:tcPr>
        <w:shd w:val="clear" w:color="auto" w:fill="FFF2D8" w:themeFill="accent4" w:themeFillTint="33"/>
      </w:tcPr>
    </w:tblStylePr>
    <w:tblStylePr w:type="band1Horz">
      <w:tblPr/>
      <w:tcPr>
        <w:shd w:val="clear" w:color="auto" w:fill="FFF2D8" w:themeFill="accent4" w:themeFillTint="33"/>
      </w:tcPr>
    </w:tblStylePr>
  </w:style>
  <w:style w:type="table" w:styleId="Tabellaelenco6acolori-colore5">
    <w:name w:val="List Table 6 Colorful Accent 5"/>
    <w:basedOn w:val="Tabellanormale"/>
    <w:uiPriority w:val="51"/>
    <w:rsid w:val="002B0416"/>
    <w:rPr>
      <w:color w:val="6411FF" w:themeColor="accent5" w:themeShade="BF"/>
    </w:rPr>
    <w:tblPr>
      <w:tblStyleRowBandSize w:val="1"/>
      <w:tblStyleColBandSize w:val="1"/>
      <w:tblBorders>
        <w:top w:val="single" w:sz="4" w:space="0" w:color="A06DFF" w:themeColor="accent5"/>
        <w:bottom w:val="single" w:sz="4" w:space="0" w:color="A06DFF" w:themeColor="accent5"/>
      </w:tblBorders>
    </w:tblPr>
    <w:tblStylePr w:type="firstRow">
      <w:rPr>
        <w:b/>
        <w:bCs/>
      </w:rPr>
      <w:tblPr/>
      <w:tcPr>
        <w:tcBorders>
          <w:bottom w:val="single" w:sz="4" w:space="0" w:color="A06DFF" w:themeColor="accent5"/>
        </w:tcBorders>
      </w:tcPr>
    </w:tblStylePr>
    <w:tblStylePr w:type="lastRow">
      <w:rPr>
        <w:b/>
        <w:bCs/>
      </w:rPr>
      <w:tblPr/>
      <w:tcPr>
        <w:tcBorders>
          <w:top w:val="double" w:sz="4" w:space="0" w:color="A06DFF" w:themeColor="accent5"/>
        </w:tcBorders>
      </w:tcPr>
    </w:tblStylePr>
    <w:tblStylePr w:type="firstCol">
      <w:rPr>
        <w:b/>
        <w:bCs/>
      </w:rPr>
    </w:tblStylePr>
    <w:tblStylePr w:type="lastCol">
      <w:rPr>
        <w:b/>
        <w:bCs/>
      </w:rPr>
    </w:tblStylePr>
    <w:tblStylePr w:type="band1Vert">
      <w:tblPr/>
      <w:tcPr>
        <w:shd w:val="clear" w:color="auto" w:fill="EBE1FF" w:themeFill="accent5" w:themeFillTint="33"/>
      </w:tcPr>
    </w:tblStylePr>
    <w:tblStylePr w:type="band1Horz">
      <w:tblPr/>
      <w:tcPr>
        <w:shd w:val="clear" w:color="auto" w:fill="EBE1FF" w:themeFill="accent5" w:themeFillTint="33"/>
      </w:tcPr>
    </w:tblStylePr>
  </w:style>
  <w:style w:type="table" w:styleId="Tabellaelenco6acolori-colore6">
    <w:name w:val="List Table 6 Colorful Accent 6"/>
    <w:basedOn w:val="Tabellanormale"/>
    <w:uiPriority w:val="51"/>
    <w:rsid w:val="002B0416"/>
    <w:rPr>
      <w:color w:val="1F0F38" w:themeColor="accent6" w:themeShade="BF"/>
    </w:rPr>
    <w:tblPr>
      <w:tblStyleRowBandSize w:val="1"/>
      <w:tblStyleColBandSize w:val="1"/>
      <w:tblBorders>
        <w:top w:val="single" w:sz="4" w:space="0" w:color="2B144C" w:themeColor="accent6"/>
        <w:bottom w:val="single" w:sz="4" w:space="0" w:color="2B144C" w:themeColor="accent6"/>
      </w:tblBorders>
    </w:tblPr>
    <w:tblStylePr w:type="firstRow">
      <w:rPr>
        <w:b/>
        <w:bCs/>
      </w:rPr>
      <w:tblPr/>
      <w:tcPr>
        <w:tcBorders>
          <w:bottom w:val="single" w:sz="4" w:space="0" w:color="2B144C" w:themeColor="accent6"/>
        </w:tcBorders>
      </w:tcPr>
    </w:tblStylePr>
    <w:tblStylePr w:type="lastRow">
      <w:rPr>
        <w:b/>
        <w:bCs/>
      </w:rPr>
      <w:tblPr/>
      <w:tcPr>
        <w:tcBorders>
          <w:top w:val="double" w:sz="4" w:space="0" w:color="2B144C" w:themeColor="accent6"/>
        </w:tcBorders>
      </w:tcPr>
    </w:tblStylePr>
    <w:tblStylePr w:type="firstCol">
      <w:rPr>
        <w:b/>
        <w:bCs/>
      </w:rPr>
    </w:tblStylePr>
    <w:tblStylePr w:type="lastCol">
      <w:rPr>
        <w:b/>
        <w:bCs/>
      </w:rPr>
    </w:tblStylePr>
    <w:tblStylePr w:type="band1Vert">
      <w:tblPr/>
      <w:tcPr>
        <w:shd w:val="clear" w:color="auto" w:fill="D1BDED" w:themeFill="accent6" w:themeFillTint="33"/>
      </w:tcPr>
    </w:tblStylePr>
    <w:tblStylePr w:type="band1Horz">
      <w:tblPr/>
      <w:tcPr>
        <w:shd w:val="clear" w:color="auto" w:fill="D1BDED" w:themeFill="accent6" w:themeFillTint="33"/>
      </w:tcPr>
    </w:tblStylePr>
  </w:style>
  <w:style w:type="table" w:styleId="Tabellaelenco7acolori">
    <w:name w:val="List Table 7 Colorful"/>
    <w:basedOn w:val="Tabellanormale"/>
    <w:uiPriority w:val="52"/>
    <w:rsid w:val="002B041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1">
    <w:name w:val="List Table 7 Colorful Accent 1"/>
    <w:basedOn w:val="Tabellanormale"/>
    <w:uiPriority w:val="52"/>
    <w:rsid w:val="002B0416"/>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2">
    <w:name w:val="List Table 7 Colorful Accent 2"/>
    <w:basedOn w:val="Tabellanormale"/>
    <w:uiPriority w:val="52"/>
    <w:rsid w:val="002B0416"/>
    <w:rPr>
      <w:color w:val="007A8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4B3"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4B3"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4B3"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4B3" w:themeColor="accent2"/>
        </w:tcBorders>
        <w:shd w:val="clear" w:color="auto" w:fill="FFFFFF" w:themeFill="background1"/>
      </w:tcPr>
    </w:tblStylePr>
    <w:tblStylePr w:type="band1Vert">
      <w:tblPr/>
      <w:tcPr>
        <w:shd w:val="clear" w:color="auto" w:fill="BCF9FF" w:themeFill="accent2" w:themeFillTint="33"/>
      </w:tcPr>
    </w:tblStylePr>
    <w:tblStylePr w:type="band1Horz">
      <w:tblPr/>
      <w:tcPr>
        <w:shd w:val="clear" w:color="auto" w:fill="BCF9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3">
    <w:name w:val="List Table 7 Colorful Accent 3"/>
    <w:basedOn w:val="Tabellanormale"/>
    <w:uiPriority w:val="52"/>
    <w:rsid w:val="002B0416"/>
    <w:rPr>
      <w:color w:val="F50A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514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514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514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5149" w:themeColor="accent3"/>
        </w:tcBorders>
        <w:shd w:val="clear" w:color="auto" w:fill="FFFFFF" w:themeFill="background1"/>
      </w:tcPr>
    </w:tblStylePr>
    <w:tblStylePr w:type="band1Vert">
      <w:tblPr/>
      <w:tcPr>
        <w:shd w:val="clear" w:color="auto" w:fill="FFDBDA" w:themeFill="accent3" w:themeFillTint="33"/>
      </w:tcPr>
    </w:tblStylePr>
    <w:tblStylePr w:type="band1Horz">
      <w:tblPr/>
      <w:tcPr>
        <w:shd w:val="clear" w:color="auto" w:fill="FFDB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4">
    <w:name w:val="List Table 7 Colorful Accent 4"/>
    <w:basedOn w:val="Tabellanormale"/>
    <w:uiPriority w:val="52"/>
    <w:rsid w:val="002B0416"/>
    <w:rPr>
      <w:color w:val="ECA1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23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23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23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23D" w:themeColor="accent4"/>
        </w:tcBorders>
        <w:shd w:val="clear" w:color="auto" w:fill="FFFFFF" w:themeFill="background1"/>
      </w:tcPr>
    </w:tblStylePr>
    <w:tblStylePr w:type="band1Vert">
      <w:tblPr/>
      <w:tcPr>
        <w:shd w:val="clear" w:color="auto" w:fill="FFF2D8" w:themeFill="accent4" w:themeFillTint="33"/>
      </w:tcPr>
    </w:tblStylePr>
    <w:tblStylePr w:type="band1Horz">
      <w:tblPr/>
      <w:tcPr>
        <w:shd w:val="clear" w:color="auto" w:fill="FFF2D8"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5">
    <w:name w:val="List Table 7 Colorful Accent 5"/>
    <w:basedOn w:val="Tabellanormale"/>
    <w:uiPriority w:val="52"/>
    <w:rsid w:val="002B0416"/>
    <w:rPr>
      <w:color w:val="6411FF"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6DFF"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6DFF"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6DFF"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6DFF" w:themeColor="accent5"/>
        </w:tcBorders>
        <w:shd w:val="clear" w:color="auto" w:fill="FFFFFF" w:themeFill="background1"/>
      </w:tcPr>
    </w:tblStylePr>
    <w:tblStylePr w:type="band1Vert">
      <w:tblPr/>
      <w:tcPr>
        <w:shd w:val="clear" w:color="auto" w:fill="EBE1FF" w:themeFill="accent5" w:themeFillTint="33"/>
      </w:tcPr>
    </w:tblStylePr>
    <w:tblStylePr w:type="band1Horz">
      <w:tblPr/>
      <w:tcPr>
        <w:shd w:val="clear" w:color="auto" w:fill="EBE1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6">
    <w:name w:val="List Table 7 Colorful Accent 6"/>
    <w:basedOn w:val="Tabellanormale"/>
    <w:uiPriority w:val="52"/>
    <w:rsid w:val="002B0416"/>
    <w:rPr>
      <w:color w:val="1F0F3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B144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B144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B144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B144C" w:themeColor="accent6"/>
        </w:tcBorders>
        <w:shd w:val="clear" w:color="auto" w:fill="FFFFFF" w:themeFill="background1"/>
      </w:tcPr>
    </w:tblStylePr>
    <w:tblStylePr w:type="band1Vert">
      <w:tblPr/>
      <w:tcPr>
        <w:shd w:val="clear" w:color="auto" w:fill="D1BDED" w:themeFill="accent6" w:themeFillTint="33"/>
      </w:tcPr>
    </w:tblStylePr>
    <w:tblStylePr w:type="band1Horz">
      <w:tblPr/>
      <w:tcPr>
        <w:shd w:val="clear" w:color="auto" w:fill="D1BDED"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gliamedia1">
    <w:name w:val="Medium Grid 1"/>
    <w:basedOn w:val="Tabellanormale"/>
    <w:uiPriority w:val="67"/>
    <w:semiHidden/>
    <w:unhideWhenUsed/>
    <w:rsid w:val="002B041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semiHidden/>
    <w:unhideWhenUsed/>
    <w:rsid w:val="002B0416"/>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Grigliamedia1-Colore2">
    <w:name w:val="Medium Grid 1 Accent 2"/>
    <w:basedOn w:val="Tabellanormale"/>
    <w:uiPriority w:val="67"/>
    <w:semiHidden/>
    <w:unhideWhenUsed/>
    <w:rsid w:val="002B0416"/>
    <w:tblPr>
      <w:tblStyleRowBandSize w:val="1"/>
      <w:tblStyleColBandSize w:val="1"/>
      <w:tblBorders>
        <w:top w:val="single" w:sz="8" w:space="0" w:color="07E9FF" w:themeColor="accent2" w:themeTint="BF"/>
        <w:left w:val="single" w:sz="8" w:space="0" w:color="07E9FF" w:themeColor="accent2" w:themeTint="BF"/>
        <w:bottom w:val="single" w:sz="8" w:space="0" w:color="07E9FF" w:themeColor="accent2" w:themeTint="BF"/>
        <w:right w:val="single" w:sz="8" w:space="0" w:color="07E9FF" w:themeColor="accent2" w:themeTint="BF"/>
        <w:insideH w:val="single" w:sz="8" w:space="0" w:color="07E9FF" w:themeColor="accent2" w:themeTint="BF"/>
        <w:insideV w:val="single" w:sz="8" w:space="0" w:color="07E9FF" w:themeColor="accent2" w:themeTint="BF"/>
      </w:tblBorders>
    </w:tblPr>
    <w:tcPr>
      <w:shd w:val="clear" w:color="auto" w:fill="ADF7FF" w:themeFill="accent2" w:themeFillTint="3F"/>
    </w:tcPr>
    <w:tblStylePr w:type="firstRow">
      <w:rPr>
        <w:b/>
        <w:bCs/>
      </w:rPr>
    </w:tblStylePr>
    <w:tblStylePr w:type="lastRow">
      <w:rPr>
        <w:b/>
        <w:bCs/>
      </w:rPr>
      <w:tblPr/>
      <w:tcPr>
        <w:tcBorders>
          <w:top w:val="single" w:sz="18" w:space="0" w:color="07E9FF" w:themeColor="accent2" w:themeTint="BF"/>
        </w:tcBorders>
      </w:tcPr>
    </w:tblStylePr>
    <w:tblStylePr w:type="firstCol">
      <w:rPr>
        <w:b/>
        <w:bCs/>
      </w:rPr>
    </w:tblStylePr>
    <w:tblStylePr w:type="lastCol">
      <w:rPr>
        <w:b/>
        <w:bCs/>
      </w:rPr>
    </w:tblStylePr>
    <w:tblStylePr w:type="band1Vert">
      <w:tblPr/>
      <w:tcPr>
        <w:shd w:val="clear" w:color="auto" w:fill="5AF0FF" w:themeFill="accent2" w:themeFillTint="7F"/>
      </w:tcPr>
    </w:tblStylePr>
    <w:tblStylePr w:type="band1Horz">
      <w:tblPr/>
      <w:tcPr>
        <w:shd w:val="clear" w:color="auto" w:fill="5AF0FF" w:themeFill="accent2" w:themeFillTint="7F"/>
      </w:tcPr>
    </w:tblStylePr>
  </w:style>
  <w:style w:type="table" w:styleId="Grigliamedia1-Colore3">
    <w:name w:val="Medium Grid 1 Accent 3"/>
    <w:basedOn w:val="Tabellanormale"/>
    <w:uiPriority w:val="67"/>
    <w:semiHidden/>
    <w:unhideWhenUsed/>
    <w:rsid w:val="002B0416"/>
    <w:tblPr>
      <w:tblStyleRowBandSize w:val="1"/>
      <w:tblStyleColBandSize w:val="1"/>
      <w:tblBorders>
        <w:top w:val="single" w:sz="8" w:space="0" w:color="FF7C76" w:themeColor="accent3" w:themeTint="BF"/>
        <w:left w:val="single" w:sz="8" w:space="0" w:color="FF7C76" w:themeColor="accent3" w:themeTint="BF"/>
        <w:bottom w:val="single" w:sz="8" w:space="0" w:color="FF7C76" w:themeColor="accent3" w:themeTint="BF"/>
        <w:right w:val="single" w:sz="8" w:space="0" w:color="FF7C76" w:themeColor="accent3" w:themeTint="BF"/>
        <w:insideH w:val="single" w:sz="8" w:space="0" w:color="FF7C76" w:themeColor="accent3" w:themeTint="BF"/>
        <w:insideV w:val="single" w:sz="8" w:space="0" w:color="FF7C76" w:themeColor="accent3" w:themeTint="BF"/>
      </w:tblBorders>
    </w:tblPr>
    <w:tcPr>
      <w:shd w:val="clear" w:color="auto" w:fill="FFD3D2" w:themeFill="accent3" w:themeFillTint="3F"/>
    </w:tcPr>
    <w:tblStylePr w:type="firstRow">
      <w:rPr>
        <w:b/>
        <w:bCs/>
      </w:rPr>
    </w:tblStylePr>
    <w:tblStylePr w:type="lastRow">
      <w:rPr>
        <w:b/>
        <w:bCs/>
      </w:rPr>
      <w:tblPr/>
      <w:tcPr>
        <w:tcBorders>
          <w:top w:val="single" w:sz="18" w:space="0" w:color="FF7C76" w:themeColor="accent3" w:themeTint="BF"/>
        </w:tcBorders>
      </w:tcPr>
    </w:tblStylePr>
    <w:tblStylePr w:type="firstCol">
      <w:rPr>
        <w:b/>
        <w:bCs/>
      </w:rPr>
    </w:tblStylePr>
    <w:tblStylePr w:type="lastCol">
      <w:rPr>
        <w:b/>
        <w:bCs/>
      </w:rPr>
    </w:tblStylePr>
    <w:tblStylePr w:type="band1Vert">
      <w:tblPr/>
      <w:tcPr>
        <w:shd w:val="clear" w:color="auto" w:fill="FFA8A4" w:themeFill="accent3" w:themeFillTint="7F"/>
      </w:tcPr>
    </w:tblStylePr>
    <w:tblStylePr w:type="band1Horz">
      <w:tblPr/>
      <w:tcPr>
        <w:shd w:val="clear" w:color="auto" w:fill="FFA8A4" w:themeFill="accent3" w:themeFillTint="7F"/>
      </w:tcPr>
    </w:tblStylePr>
  </w:style>
  <w:style w:type="table" w:styleId="Grigliamedia1-Colore4">
    <w:name w:val="Medium Grid 1 Accent 4"/>
    <w:basedOn w:val="Tabellanormale"/>
    <w:uiPriority w:val="67"/>
    <w:semiHidden/>
    <w:unhideWhenUsed/>
    <w:rsid w:val="002B0416"/>
    <w:tblPr>
      <w:tblStyleRowBandSize w:val="1"/>
      <w:tblStyleColBandSize w:val="1"/>
      <w:tblBorders>
        <w:top w:val="single" w:sz="8" w:space="0" w:color="FFD06D" w:themeColor="accent4" w:themeTint="BF"/>
        <w:left w:val="single" w:sz="8" w:space="0" w:color="FFD06D" w:themeColor="accent4" w:themeTint="BF"/>
        <w:bottom w:val="single" w:sz="8" w:space="0" w:color="FFD06D" w:themeColor="accent4" w:themeTint="BF"/>
        <w:right w:val="single" w:sz="8" w:space="0" w:color="FFD06D" w:themeColor="accent4" w:themeTint="BF"/>
        <w:insideH w:val="single" w:sz="8" w:space="0" w:color="FFD06D" w:themeColor="accent4" w:themeTint="BF"/>
        <w:insideV w:val="single" w:sz="8" w:space="0" w:color="FFD06D" w:themeColor="accent4" w:themeTint="BF"/>
      </w:tblBorders>
    </w:tblPr>
    <w:tcPr>
      <w:shd w:val="clear" w:color="auto" w:fill="FFEFCF" w:themeFill="accent4" w:themeFillTint="3F"/>
    </w:tcPr>
    <w:tblStylePr w:type="firstRow">
      <w:rPr>
        <w:b/>
        <w:bCs/>
      </w:rPr>
    </w:tblStylePr>
    <w:tblStylePr w:type="lastRow">
      <w:rPr>
        <w:b/>
        <w:bCs/>
      </w:rPr>
      <w:tblPr/>
      <w:tcPr>
        <w:tcBorders>
          <w:top w:val="single" w:sz="18" w:space="0" w:color="FFD06D" w:themeColor="accent4" w:themeTint="BF"/>
        </w:tcBorders>
      </w:tcPr>
    </w:tblStylePr>
    <w:tblStylePr w:type="firstCol">
      <w:rPr>
        <w:b/>
        <w:bCs/>
      </w:rPr>
    </w:tblStylePr>
    <w:tblStylePr w:type="lastCol">
      <w:rPr>
        <w:b/>
        <w:bCs/>
      </w:rPr>
    </w:tblStylePr>
    <w:tblStylePr w:type="band1Vert">
      <w:tblPr/>
      <w:tcPr>
        <w:shd w:val="clear" w:color="auto" w:fill="FFE09E" w:themeFill="accent4" w:themeFillTint="7F"/>
      </w:tcPr>
    </w:tblStylePr>
    <w:tblStylePr w:type="band1Horz">
      <w:tblPr/>
      <w:tcPr>
        <w:shd w:val="clear" w:color="auto" w:fill="FFE09E" w:themeFill="accent4" w:themeFillTint="7F"/>
      </w:tcPr>
    </w:tblStylePr>
  </w:style>
  <w:style w:type="table" w:styleId="Grigliamedia1-Colore5">
    <w:name w:val="Medium Grid 1 Accent 5"/>
    <w:basedOn w:val="Tabellanormale"/>
    <w:uiPriority w:val="67"/>
    <w:semiHidden/>
    <w:unhideWhenUsed/>
    <w:rsid w:val="002B0416"/>
    <w:tblPr>
      <w:tblStyleRowBandSize w:val="1"/>
      <w:tblStyleColBandSize w:val="1"/>
      <w:tblBorders>
        <w:top w:val="single" w:sz="8" w:space="0" w:color="B791FF" w:themeColor="accent5" w:themeTint="BF"/>
        <w:left w:val="single" w:sz="8" w:space="0" w:color="B791FF" w:themeColor="accent5" w:themeTint="BF"/>
        <w:bottom w:val="single" w:sz="8" w:space="0" w:color="B791FF" w:themeColor="accent5" w:themeTint="BF"/>
        <w:right w:val="single" w:sz="8" w:space="0" w:color="B791FF" w:themeColor="accent5" w:themeTint="BF"/>
        <w:insideH w:val="single" w:sz="8" w:space="0" w:color="B791FF" w:themeColor="accent5" w:themeTint="BF"/>
        <w:insideV w:val="single" w:sz="8" w:space="0" w:color="B791FF" w:themeColor="accent5" w:themeTint="BF"/>
      </w:tblBorders>
    </w:tblPr>
    <w:tcPr>
      <w:shd w:val="clear" w:color="auto" w:fill="E7DAFF" w:themeFill="accent5" w:themeFillTint="3F"/>
    </w:tcPr>
    <w:tblStylePr w:type="firstRow">
      <w:rPr>
        <w:b/>
        <w:bCs/>
      </w:rPr>
    </w:tblStylePr>
    <w:tblStylePr w:type="lastRow">
      <w:rPr>
        <w:b/>
        <w:bCs/>
      </w:rPr>
      <w:tblPr/>
      <w:tcPr>
        <w:tcBorders>
          <w:top w:val="single" w:sz="18" w:space="0" w:color="B791FF" w:themeColor="accent5" w:themeTint="BF"/>
        </w:tcBorders>
      </w:tcPr>
    </w:tblStylePr>
    <w:tblStylePr w:type="firstCol">
      <w:rPr>
        <w:b/>
        <w:bCs/>
      </w:rPr>
    </w:tblStylePr>
    <w:tblStylePr w:type="lastCol">
      <w:rPr>
        <w:b/>
        <w:bCs/>
      </w:rPr>
    </w:tblStylePr>
    <w:tblStylePr w:type="band1Vert">
      <w:tblPr/>
      <w:tcPr>
        <w:shd w:val="clear" w:color="auto" w:fill="CFB6FF" w:themeFill="accent5" w:themeFillTint="7F"/>
      </w:tcPr>
    </w:tblStylePr>
    <w:tblStylePr w:type="band1Horz">
      <w:tblPr/>
      <w:tcPr>
        <w:shd w:val="clear" w:color="auto" w:fill="CFB6FF" w:themeFill="accent5" w:themeFillTint="7F"/>
      </w:tcPr>
    </w:tblStylePr>
  </w:style>
  <w:style w:type="table" w:styleId="Grigliamedia1-Colore6">
    <w:name w:val="Medium Grid 1 Accent 6"/>
    <w:basedOn w:val="Tabellanormale"/>
    <w:uiPriority w:val="67"/>
    <w:semiHidden/>
    <w:unhideWhenUsed/>
    <w:rsid w:val="002B0416"/>
    <w:tblPr>
      <w:tblStyleRowBandSize w:val="1"/>
      <w:tblStyleColBandSize w:val="1"/>
      <w:tblBorders>
        <w:top w:val="single" w:sz="8" w:space="0" w:color="59299E" w:themeColor="accent6" w:themeTint="BF"/>
        <w:left w:val="single" w:sz="8" w:space="0" w:color="59299E" w:themeColor="accent6" w:themeTint="BF"/>
        <w:bottom w:val="single" w:sz="8" w:space="0" w:color="59299E" w:themeColor="accent6" w:themeTint="BF"/>
        <w:right w:val="single" w:sz="8" w:space="0" w:color="59299E" w:themeColor="accent6" w:themeTint="BF"/>
        <w:insideH w:val="single" w:sz="8" w:space="0" w:color="59299E" w:themeColor="accent6" w:themeTint="BF"/>
        <w:insideV w:val="single" w:sz="8" w:space="0" w:color="59299E" w:themeColor="accent6" w:themeTint="BF"/>
      </w:tblBorders>
    </w:tblPr>
    <w:tcPr>
      <w:shd w:val="clear" w:color="auto" w:fill="C6AEE9" w:themeFill="accent6" w:themeFillTint="3F"/>
    </w:tcPr>
    <w:tblStylePr w:type="firstRow">
      <w:rPr>
        <w:b/>
        <w:bCs/>
      </w:rPr>
    </w:tblStylePr>
    <w:tblStylePr w:type="lastRow">
      <w:rPr>
        <w:b/>
        <w:bCs/>
      </w:rPr>
      <w:tblPr/>
      <w:tcPr>
        <w:tcBorders>
          <w:top w:val="single" w:sz="18" w:space="0" w:color="59299E" w:themeColor="accent6" w:themeTint="BF"/>
        </w:tcBorders>
      </w:tcPr>
    </w:tblStylePr>
    <w:tblStylePr w:type="firstCol">
      <w:rPr>
        <w:b/>
        <w:bCs/>
      </w:rPr>
    </w:tblStylePr>
    <w:tblStylePr w:type="lastCol">
      <w:rPr>
        <w:b/>
        <w:bCs/>
      </w:rPr>
    </w:tblStylePr>
    <w:tblStylePr w:type="band1Vert">
      <w:tblPr/>
      <w:tcPr>
        <w:shd w:val="clear" w:color="auto" w:fill="8C5BD4" w:themeFill="accent6" w:themeFillTint="7F"/>
      </w:tcPr>
    </w:tblStylePr>
    <w:tblStylePr w:type="band1Horz">
      <w:tblPr/>
      <w:tcPr>
        <w:shd w:val="clear" w:color="auto" w:fill="8C5BD4" w:themeFill="accent6" w:themeFillTint="7F"/>
      </w:tcPr>
    </w:tblStylePr>
  </w:style>
  <w:style w:type="table" w:styleId="Grigliamedia2">
    <w:name w:val="Medium Grid 2"/>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00A4B3" w:themeColor="accent2"/>
        <w:left w:val="single" w:sz="8" w:space="0" w:color="00A4B3" w:themeColor="accent2"/>
        <w:bottom w:val="single" w:sz="8" w:space="0" w:color="00A4B3" w:themeColor="accent2"/>
        <w:right w:val="single" w:sz="8" w:space="0" w:color="00A4B3" w:themeColor="accent2"/>
        <w:insideH w:val="single" w:sz="8" w:space="0" w:color="00A4B3" w:themeColor="accent2"/>
        <w:insideV w:val="single" w:sz="8" w:space="0" w:color="00A4B3" w:themeColor="accent2"/>
      </w:tblBorders>
    </w:tblPr>
    <w:tcPr>
      <w:shd w:val="clear" w:color="auto" w:fill="ADF7FF" w:themeFill="accent2" w:themeFillTint="3F"/>
    </w:tcPr>
    <w:tblStylePr w:type="firstRow">
      <w:rPr>
        <w:b/>
        <w:bCs/>
        <w:color w:val="000000" w:themeColor="text1"/>
      </w:rPr>
      <w:tblPr/>
      <w:tcPr>
        <w:shd w:val="clear" w:color="auto" w:fill="DEFC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9FF" w:themeFill="accent2" w:themeFillTint="33"/>
      </w:tcPr>
    </w:tblStylePr>
    <w:tblStylePr w:type="band1Vert">
      <w:tblPr/>
      <w:tcPr>
        <w:shd w:val="clear" w:color="auto" w:fill="5AF0FF" w:themeFill="accent2" w:themeFillTint="7F"/>
      </w:tcPr>
    </w:tblStylePr>
    <w:tblStylePr w:type="band1Horz">
      <w:tblPr/>
      <w:tcPr>
        <w:tcBorders>
          <w:insideH w:val="single" w:sz="6" w:space="0" w:color="00A4B3" w:themeColor="accent2"/>
          <w:insideV w:val="single" w:sz="6" w:space="0" w:color="00A4B3" w:themeColor="accent2"/>
        </w:tcBorders>
        <w:shd w:val="clear" w:color="auto" w:fill="5AF0FF"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FF5149" w:themeColor="accent3"/>
        <w:left w:val="single" w:sz="8" w:space="0" w:color="FF5149" w:themeColor="accent3"/>
        <w:bottom w:val="single" w:sz="8" w:space="0" w:color="FF5149" w:themeColor="accent3"/>
        <w:right w:val="single" w:sz="8" w:space="0" w:color="FF5149" w:themeColor="accent3"/>
        <w:insideH w:val="single" w:sz="8" w:space="0" w:color="FF5149" w:themeColor="accent3"/>
        <w:insideV w:val="single" w:sz="8" w:space="0" w:color="FF5149" w:themeColor="accent3"/>
      </w:tblBorders>
    </w:tblPr>
    <w:tcPr>
      <w:shd w:val="clear" w:color="auto" w:fill="FFD3D2" w:themeFill="accent3" w:themeFillTint="3F"/>
    </w:tcPr>
    <w:tblStylePr w:type="firstRow">
      <w:rPr>
        <w:b/>
        <w:bCs/>
        <w:color w:val="000000" w:themeColor="text1"/>
      </w:rPr>
      <w:tblPr/>
      <w:tcPr>
        <w:shd w:val="clear" w:color="auto" w:fill="FFEDE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BDA" w:themeFill="accent3" w:themeFillTint="33"/>
      </w:tcPr>
    </w:tblStylePr>
    <w:tblStylePr w:type="band1Vert">
      <w:tblPr/>
      <w:tcPr>
        <w:shd w:val="clear" w:color="auto" w:fill="FFA8A4" w:themeFill="accent3" w:themeFillTint="7F"/>
      </w:tcPr>
    </w:tblStylePr>
    <w:tblStylePr w:type="band1Horz">
      <w:tblPr/>
      <w:tcPr>
        <w:tcBorders>
          <w:insideH w:val="single" w:sz="6" w:space="0" w:color="FF5149" w:themeColor="accent3"/>
          <w:insideV w:val="single" w:sz="6" w:space="0" w:color="FF5149" w:themeColor="accent3"/>
        </w:tcBorders>
        <w:shd w:val="clear" w:color="auto" w:fill="FFA8A4"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FFC23D" w:themeColor="accent4"/>
        <w:left w:val="single" w:sz="8" w:space="0" w:color="FFC23D" w:themeColor="accent4"/>
        <w:bottom w:val="single" w:sz="8" w:space="0" w:color="FFC23D" w:themeColor="accent4"/>
        <w:right w:val="single" w:sz="8" w:space="0" w:color="FFC23D" w:themeColor="accent4"/>
        <w:insideH w:val="single" w:sz="8" w:space="0" w:color="FFC23D" w:themeColor="accent4"/>
        <w:insideV w:val="single" w:sz="8" w:space="0" w:color="FFC23D" w:themeColor="accent4"/>
      </w:tblBorders>
    </w:tblPr>
    <w:tcPr>
      <w:shd w:val="clear" w:color="auto" w:fill="FFEFCF" w:themeFill="accent4" w:themeFillTint="3F"/>
    </w:tcPr>
    <w:tblStylePr w:type="firstRow">
      <w:rPr>
        <w:b/>
        <w:bCs/>
        <w:color w:val="000000" w:themeColor="text1"/>
      </w:rPr>
      <w:tblPr/>
      <w:tcPr>
        <w:shd w:val="clear" w:color="auto" w:fill="FFF8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D8" w:themeFill="accent4" w:themeFillTint="33"/>
      </w:tcPr>
    </w:tblStylePr>
    <w:tblStylePr w:type="band1Vert">
      <w:tblPr/>
      <w:tcPr>
        <w:shd w:val="clear" w:color="auto" w:fill="FFE09E" w:themeFill="accent4" w:themeFillTint="7F"/>
      </w:tcPr>
    </w:tblStylePr>
    <w:tblStylePr w:type="band1Horz">
      <w:tblPr/>
      <w:tcPr>
        <w:tcBorders>
          <w:insideH w:val="single" w:sz="6" w:space="0" w:color="FFC23D" w:themeColor="accent4"/>
          <w:insideV w:val="single" w:sz="6" w:space="0" w:color="FFC23D" w:themeColor="accent4"/>
        </w:tcBorders>
        <w:shd w:val="clear" w:color="auto" w:fill="FFE09E"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A06DFF" w:themeColor="accent5"/>
        <w:left w:val="single" w:sz="8" w:space="0" w:color="A06DFF" w:themeColor="accent5"/>
        <w:bottom w:val="single" w:sz="8" w:space="0" w:color="A06DFF" w:themeColor="accent5"/>
        <w:right w:val="single" w:sz="8" w:space="0" w:color="A06DFF" w:themeColor="accent5"/>
        <w:insideH w:val="single" w:sz="8" w:space="0" w:color="A06DFF" w:themeColor="accent5"/>
        <w:insideV w:val="single" w:sz="8" w:space="0" w:color="A06DFF" w:themeColor="accent5"/>
      </w:tblBorders>
    </w:tblPr>
    <w:tcPr>
      <w:shd w:val="clear" w:color="auto" w:fill="E7DAFF" w:themeFill="accent5" w:themeFillTint="3F"/>
    </w:tcPr>
    <w:tblStylePr w:type="firstRow">
      <w:rPr>
        <w:b/>
        <w:bCs/>
        <w:color w:val="000000" w:themeColor="text1"/>
      </w:rPr>
      <w:tblPr/>
      <w:tcPr>
        <w:shd w:val="clear" w:color="auto" w:fill="F5F0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1FF" w:themeFill="accent5" w:themeFillTint="33"/>
      </w:tcPr>
    </w:tblStylePr>
    <w:tblStylePr w:type="band1Vert">
      <w:tblPr/>
      <w:tcPr>
        <w:shd w:val="clear" w:color="auto" w:fill="CFB6FF" w:themeFill="accent5" w:themeFillTint="7F"/>
      </w:tcPr>
    </w:tblStylePr>
    <w:tblStylePr w:type="band1Horz">
      <w:tblPr/>
      <w:tcPr>
        <w:tcBorders>
          <w:insideH w:val="single" w:sz="6" w:space="0" w:color="A06DFF" w:themeColor="accent5"/>
          <w:insideV w:val="single" w:sz="6" w:space="0" w:color="A06DFF" w:themeColor="accent5"/>
        </w:tcBorders>
        <w:shd w:val="clear" w:color="auto" w:fill="CFB6FF"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2B144C" w:themeColor="accent6"/>
        <w:left w:val="single" w:sz="8" w:space="0" w:color="2B144C" w:themeColor="accent6"/>
        <w:bottom w:val="single" w:sz="8" w:space="0" w:color="2B144C" w:themeColor="accent6"/>
        <w:right w:val="single" w:sz="8" w:space="0" w:color="2B144C" w:themeColor="accent6"/>
        <w:insideH w:val="single" w:sz="8" w:space="0" w:color="2B144C" w:themeColor="accent6"/>
        <w:insideV w:val="single" w:sz="8" w:space="0" w:color="2B144C" w:themeColor="accent6"/>
      </w:tblBorders>
    </w:tblPr>
    <w:tcPr>
      <w:shd w:val="clear" w:color="auto" w:fill="C6AEE9" w:themeFill="accent6" w:themeFillTint="3F"/>
    </w:tcPr>
    <w:tblStylePr w:type="firstRow">
      <w:rPr>
        <w:b/>
        <w:bCs/>
        <w:color w:val="000000" w:themeColor="text1"/>
      </w:rPr>
      <w:tblPr/>
      <w:tcPr>
        <w:shd w:val="clear" w:color="auto" w:fill="E8DE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BDED" w:themeFill="accent6" w:themeFillTint="33"/>
      </w:tcPr>
    </w:tblStylePr>
    <w:tblStylePr w:type="band1Vert">
      <w:tblPr/>
      <w:tcPr>
        <w:shd w:val="clear" w:color="auto" w:fill="8C5BD4" w:themeFill="accent6" w:themeFillTint="7F"/>
      </w:tcPr>
    </w:tblStylePr>
    <w:tblStylePr w:type="band1Horz">
      <w:tblPr/>
      <w:tcPr>
        <w:tcBorders>
          <w:insideH w:val="single" w:sz="6" w:space="0" w:color="2B144C" w:themeColor="accent6"/>
          <w:insideV w:val="single" w:sz="6" w:space="0" w:color="2B144C" w:themeColor="accent6"/>
        </w:tcBorders>
        <w:shd w:val="clear" w:color="auto" w:fill="8C5BD4"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Grigliamedia3-Colore2">
    <w:name w:val="Medium Grid 3 Accent 2"/>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7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4B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4B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4B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4B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AF0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AF0FF" w:themeFill="accent2" w:themeFillTint="7F"/>
      </w:tcPr>
    </w:tblStylePr>
  </w:style>
  <w:style w:type="table" w:styleId="Grigliamedia3-Colore3">
    <w:name w:val="Medium Grid 3 Accent 3"/>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3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14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14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14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14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8A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8A4" w:themeFill="accent3" w:themeFillTint="7F"/>
      </w:tcPr>
    </w:tblStylePr>
  </w:style>
  <w:style w:type="table" w:styleId="Grigliamedia3-Colore4">
    <w:name w:val="Medium Grid 3 Accent 4"/>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23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23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23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23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09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09E" w:themeFill="accent4" w:themeFillTint="7F"/>
      </w:tcPr>
    </w:tblStylePr>
  </w:style>
  <w:style w:type="table" w:styleId="Grigliamedia3-Colore5">
    <w:name w:val="Medium Grid 3 Accent 5"/>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A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6DF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6DF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6DF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6DF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B6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B6FF" w:themeFill="accent5" w:themeFillTint="7F"/>
      </w:tcPr>
    </w:tblStylePr>
  </w:style>
  <w:style w:type="table" w:styleId="Grigliamedia3-Colore6">
    <w:name w:val="Medium Grid 3 Accent 6"/>
    <w:basedOn w:val="Tabellanormale"/>
    <w:uiPriority w:val="69"/>
    <w:semiHidden/>
    <w:unhideWhenUsed/>
    <w:rsid w:val="002B041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6AEE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B144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B144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B144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B144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C5BD4"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C5BD4" w:themeFill="accent6" w:themeFillTint="7F"/>
      </w:tcPr>
    </w:tblStylePr>
  </w:style>
  <w:style w:type="table" w:styleId="Elencomedio1">
    <w:name w:val="Medium List 1"/>
    <w:basedOn w:val="Tabellanormale"/>
    <w:uiPriority w:val="65"/>
    <w:semiHidden/>
    <w:unhideWhenUsed/>
    <w:rsid w:val="002B041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CC4B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semiHidden/>
    <w:unhideWhenUsed/>
    <w:rsid w:val="002B0416"/>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CCC4BD"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Elencomedio1-Colore2">
    <w:name w:val="Medium List 1 Accent 2"/>
    <w:basedOn w:val="Tabellanormale"/>
    <w:uiPriority w:val="65"/>
    <w:semiHidden/>
    <w:unhideWhenUsed/>
    <w:rsid w:val="002B0416"/>
    <w:rPr>
      <w:color w:val="000000" w:themeColor="text1"/>
    </w:rPr>
    <w:tblPr>
      <w:tblStyleRowBandSize w:val="1"/>
      <w:tblStyleColBandSize w:val="1"/>
      <w:tblBorders>
        <w:top w:val="single" w:sz="8" w:space="0" w:color="00A4B3" w:themeColor="accent2"/>
        <w:bottom w:val="single" w:sz="8" w:space="0" w:color="00A4B3" w:themeColor="accent2"/>
      </w:tblBorders>
    </w:tblPr>
    <w:tblStylePr w:type="firstRow">
      <w:rPr>
        <w:rFonts w:asciiTheme="majorHAnsi" w:eastAsiaTheme="majorEastAsia" w:hAnsiTheme="majorHAnsi" w:cstheme="majorBidi"/>
      </w:rPr>
      <w:tblPr/>
      <w:tcPr>
        <w:tcBorders>
          <w:top w:val="nil"/>
          <w:bottom w:val="single" w:sz="8" w:space="0" w:color="00A4B3" w:themeColor="accent2"/>
        </w:tcBorders>
      </w:tcPr>
    </w:tblStylePr>
    <w:tblStylePr w:type="lastRow">
      <w:rPr>
        <w:b/>
        <w:bCs/>
        <w:color w:val="CCC4BD" w:themeColor="text2"/>
      </w:rPr>
      <w:tblPr/>
      <w:tcPr>
        <w:tcBorders>
          <w:top w:val="single" w:sz="8" w:space="0" w:color="00A4B3" w:themeColor="accent2"/>
          <w:bottom w:val="single" w:sz="8" w:space="0" w:color="00A4B3" w:themeColor="accent2"/>
        </w:tcBorders>
      </w:tcPr>
    </w:tblStylePr>
    <w:tblStylePr w:type="firstCol">
      <w:rPr>
        <w:b/>
        <w:bCs/>
      </w:rPr>
    </w:tblStylePr>
    <w:tblStylePr w:type="lastCol">
      <w:rPr>
        <w:b/>
        <w:bCs/>
      </w:rPr>
      <w:tblPr/>
      <w:tcPr>
        <w:tcBorders>
          <w:top w:val="single" w:sz="8" w:space="0" w:color="00A4B3" w:themeColor="accent2"/>
          <w:bottom w:val="single" w:sz="8" w:space="0" w:color="00A4B3" w:themeColor="accent2"/>
        </w:tcBorders>
      </w:tcPr>
    </w:tblStylePr>
    <w:tblStylePr w:type="band1Vert">
      <w:tblPr/>
      <w:tcPr>
        <w:shd w:val="clear" w:color="auto" w:fill="ADF7FF" w:themeFill="accent2" w:themeFillTint="3F"/>
      </w:tcPr>
    </w:tblStylePr>
    <w:tblStylePr w:type="band1Horz">
      <w:tblPr/>
      <w:tcPr>
        <w:shd w:val="clear" w:color="auto" w:fill="ADF7FF" w:themeFill="accent2" w:themeFillTint="3F"/>
      </w:tcPr>
    </w:tblStylePr>
  </w:style>
  <w:style w:type="table" w:styleId="Elencomedio1-Colore3">
    <w:name w:val="Medium List 1 Accent 3"/>
    <w:basedOn w:val="Tabellanormale"/>
    <w:uiPriority w:val="65"/>
    <w:semiHidden/>
    <w:unhideWhenUsed/>
    <w:rsid w:val="002B0416"/>
    <w:rPr>
      <w:color w:val="000000" w:themeColor="text1"/>
    </w:rPr>
    <w:tblPr>
      <w:tblStyleRowBandSize w:val="1"/>
      <w:tblStyleColBandSize w:val="1"/>
      <w:tblBorders>
        <w:top w:val="single" w:sz="8" w:space="0" w:color="FF5149" w:themeColor="accent3"/>
        <w:bottom w:val="single" w:sz="8" w:space="0" w:color="FF5149" w:themeColor="accent3"/>
      </w:tblBorders>
    </w:tblPr>
    <w:tblStylePr w:type="firstRow">
      <w:rPr>
        <w:rFonts w:asciiTheme="majorHAnsi" w:eastAsiaTheme="majorEastAsia" w:hAnsiTheme="majorHAnsi" w:cstheme="majorBidi"/>
      </w:rPr>
      <w:tblPr/>
      <w:tcPr>
        <w:tcBorders>
          <w:top w:val="nil"/>
          <w:bottom w:val="single" w:sz="8" w:space="0" w:color="FF5149" w:themeColor="accent3"/>
        </w:tcBorders>
      </w:tcPr>
    </w:tblStylePr>
    <w:tblStylePr w:type="lastRow">
      <w:rPr>
        <w:b/>
        <w:bCs/>
        <w:color w:val="CCC4BD" w:themeColor="text2"/>
      </w:rPr>
      <w:tblPr/>
      <w:tcPr>
        <w:tcBorders>
          <w:top w:val="single" w:sz="8" w:space="0" w:color="FF5149" w:themeColor="accent3"/>
          <w:bottom w:val="single" w:sz="8" w:space="0" w:color="FF5149" w:themeColor="accent3"/>
        </w:tcBorders>
      </w:tcPr>
    </w:tblStylePr>
    <w:tblStylePr w:type="firstCol">
      <w:rPr>
        <w:b/>
        <w:bCs/>
      </w:rPr>
    </w:tblStylePr>
    <w:tblStylePr w:type="lastCol">
      <w:rPr>
        <w:b/>
        <w:bCs/>
      </w:rPr>
      <w:tblPr/>
      <w:tcPr>
        <w:tcBorders>
          <w:top w:val="single" w:sz="8" w:space="0" w:color="FF5149" w:themeColor="accent3"/>
          <w:bottom w:val="single" w:sz="8" w:space="0" w:color="FF5149" w:themeColor="accent3"/>
        </w:tcBorders>
      </w:tcPr>
    </w:tblStylePr>
    <w:tblStylePr w:type="band1Vert">
      <w:tblPr/>
      <w:tcPr>
        <w:shd w:val="clear" w:color="auto" w:fill="FFD3D2" w:themeFill="accent3" w:themeFillTint="3F"/>
      </w:tcPr>
    </w:tblStylePr>
    <w:tblStylePr w:type="band1Horz">
      <w:tblPr/>
      <w:tcPr>
        <w:shd w:val="clear" w:color="auto" w:fill="FFD3D2" w:themeFill="accent3" w:themeFillTint="3F"/>
      </w:tcPr>
    </w:tblStylePr>
  </w:style>
  <w:style w:type="table" w:styleId="Elencomedio1-Colore4">
    <w:name w:val="Medium List 1 Accent 4"/>
    <w:basedOn w:val="Tabellanormale"/>
    <w:uiPriority w:val="65"/>
    <w:semiHidden/>
    <w:unhideWhenUsed/>
    <w:rsid w:val="002B0416"/>
    <w:rPr>
      <w:color w:val="000000" w:themeColor="text1"/>
    </w:rPr>
    <w:tblPr>
      <w:tblStyleRowBandSize w:val="1"/>
      <w:tblStyleColBandSize w:val="1"/>
      <w:tblBorders>
        <w:top w:val="single" w:sz="8" w:space="0" w:color="FFC23D" w:themeColor="accent4"/>
        <w:bottom w:val="single" w:sz="8" w:space="0" w:color="FFC23D" w:themeColor="accent4"/>
      </w:tblBorders>
    </w:tblPr>
    <w:tblStylePr w:type="firstRow">
      <w:rPr>
        <w:rFonts w:asciiTheme="majorHAnsi" w:eastAsiaTheme="majorEastAsia" w:hAnsiTheme="majorHAnsi" w:cstheme="majorBidi"/>
      </w:rPr>
      <w:tblPr/>
      <w:tcPr>
        <w:tcBorders>
          <w:top w:val="nil"/>
          <w:bottom w:val="single" w:sz="8" w:space="0" w:color="FFC23D" w:themeColor="accent4"/>
        </w:tcBorders>
      </w:tcPr>
    </w:tblStylePr>
    <w:tblStylePr w:type="lastRow">
      <w:rPr>
        <w:b/>
        <w:bCs/>
        <w:color w:val="CCC4BD" w:themeColor="text2"/>
      </w:rPr>
      <w:tblPr/>
      <w:tcPr>
        <w:tcBorders>
          <w:top w:val="single" w:sz="8" w:space="0" w:color="FFC23D" w:themeColor="accent4"/>
          <w:bottom w:val="single" w:sz="8" w:space="0" w:color="FFC23D" w:themeColor="accent4"/>
        </w:tcBorders>
      </w:tcPr>
    </w:tblStylePr>
    <w:tblStylePr w:type="firstCol">
      <w:rPr>
        <w:b/>
        <w:bCs/>
      </w:rPr>
    </w:tblStylePr>
    <w:tblStylePr w:type="lastCol">
      <w:rPr>
        <w:b/>
        <w:bCs/>
      </w:rPr>
      <w:tblPr/>
      <w:tcPr>
        <w:tcBorders>
          <w:top w:val="single" w:sz="8" w:space="0" w:color="FFC23D" w:themeColor="accent4"/>
          <w:bottom w:val="single" w:sz="8" w:space="0" w:color="FFC23D" w:themeColor="accent4"/>
        </w:tcBorders>
      </w:tcPr>
    </w:tblStylePr>
    <w:tblStylePr w:type="band1Vert">
      <w:tblPr/>
      <w:tcPr>
        <w:shd w:val="clear" w:color="auto" w:fill="FFEFCF" w:themeFill="accent4" w:themeFillTint="3F"/>
      </w:tcPr>
    </w:tblStylePr>
    <w:tblStylePr w:type="band1Horz">
      <w:tblPr/>
      <w:tcPr>
        <w:shd w:val="clear" w:color="auto" w:fill="FFEFCF" w:themeFill="accent4" w:themeFillTint="3F"/>
      </w:tcPr>
    </w:tblStylePr>
  </w:style>
  <w:style w:type="table" w:styleId="Elencomedio1-Colore5">
    <w:name w:val="Medium List 1 Accent 5"/>
    <w:basedOn w:val="Tabellanormale"/>
    <w:uiPriority w:val="65"/>
    <w:semiHidden/>
    <w:unhideWhenUsed/>
    <w:rsid w:val="002B0416"/>
    <w:rPr>
      <w:color w:val="000000" w:themeColor="text1"/>
    </w:rPr>
    <w:tblPr>
      <w:tblStyleRowBandSize w:val="1"/>
      <w:tblStyleColBandSize w:val="1"/>
      <w:tblBorders>
        <w:top w:val="single" w:sz="8" w:space="0" w:color="A06DFF" w:themeColor="accent5"/>
        <w:bottom w:val="single" w:sz="8" w:space="0" w:color="A06DFF" w:themeColor="accent5"/>
      </w:tblBorders>
    </w:tblPr>
    <w:tblStylePr w:type="firstRow">
      <w:rPr>
        <w:rFonts w:asciiTheme="majorHAnsi" w:eastAsiaTheme="majorEastAsia" w:hAnsiTheme="majorHAnsi" w:cstheme="majorBidi"/>
      </w:rPr>
      <w:tblPr/>
      <w:tcPr>
        <w:tcBorders>
          <w:top w:val="nil"/>
          <w:bottom w:val="single" w:sz="8" w:space="0" w:color="A06DFF" w:themeColor="accent5"/>
        </w:tcBorders>
      </w:tcPr>
    </w:tblStylePr>
    <w:tblStylePr w:type="lastRow">
      <w:rPr>
        <w:b/>
        <w:bCs/>
        <w:color w:val="CCC4BD" w:themeColor="text2"/>
      </w:rPr>
      <w:tblPr/>
      <w:tcPr>
        <w:tcBorders>
          <w:top w:val="single" w:sz="8" w:space="0" w:color="A06DFF" w:themeColor="accent5"/>
          <w:bottom w:val="single" w:sz="8" w:space="0" w:color="A06DFF" w:themeColor="accent5"/>
        </w:tcBorders>
      </w:tcPr>
    </w:tblStylePr>
    <w:tblStylePr w:type="firstCol">
      <w:rPr>
        <w:b/>
        <w:bCs/>
      </w:rPr>
    </w:tblStylePr>
    <w:tblStylePr w:type="lastCol">
      <w:rPr>
        <w:b/>
        <w:bCs/>
      </w:rPr>
      <w:tblPr/>
      <w:tcPr>
        <w:tcBorders>
          <w:top w:val="single" w:sz="8" w:space="0" w:color="A06DFF" w:themeColor="accent5"/>
          <w:bottom w:val="single" w:sz="8" w:space="0" w:color="A06DFF" w:themeColor="accent5"/>
        </w:tcBorders>
      </w:tcPr>
    </w:tblStylePr>
    <w:tblStylePr w:type="band1Vert">
      <w:tblPr/>
      <w:tcPr>
        <w:shd w:val="clear" w:color="auto" w:fill="E7DAFF" w:themeFill="accent5" w:themeFillTint="3F"/>
      </w:tcPr>
    </w:tblStylePr>
    <w:tblStylePr w:type="band1Horz">
      <w:tblPr/>
      <w:tcPr>
        <w:shd w:val="clear" w:color="auto" w:fill="E7DAFF" w:themeFill="accent5" w:themeFillTint="3F"/>
      </w:tcPr>
    </w:tblStylePr>
  </w:style>
  <w:style w:type="table" w:styleId="Elencomedio1-Colore6">
    <w:name w:val="Medium List 1 Accent 6"/>
    <w:basedOn w:val="Tabellanormale"/>
    <w:uiPriority w:val="65"/>
    <w:semiHidden/>
    <w:unhideWhenUsed/>
    <w:rsid w:val="002B0416"/>
    <w:rPr>
      <w:color w:val="000000" w:themeColor="text1"/>
    </w:rPr>
    <w:tblPr>
      <w:tblStyleRowBandSize w:val="1"/>
      <w:tblStyleColBandSize w:val="1"/>
      <w:tblBorders>
        <w:top w:val="single" w:sz="8" w:space="0" w:color="2B144C" w:themeColor="accent6"/>
        <w:bottom w:val="single" w:sz="8" w:space="0" w:color="2B144C" w:themeColor="accent6"/>
      </w:tblBorders>
    </w:tblPr>
    <w:tblStylePr w:type="firstRow">
      <w:rPr>
        <w:rFonts w:asciiTheme="majorHAnsi" w:eastAsiaTheme="majorEastAsia" w:hAnsiTheme="majorHAnsi" w:cstheme="majorBidi"/>
      </w:rPr>
      <w:tblPr/>
      <w:tcPr>
        <w:tcBorders>
          <w:top w:val="nil"/>
          <w:bottom w:val="single" w:sz="8" w:space="0" w:color="2B144C" w:themeColor="accent6"/>
        </w:tcBorders>
      </w:tcPr>
    </w:tblStylePr>
    <w:tblStylePr w:type="lastRow">
      <w:rPr>
        <w:b/>
        <w:bCs/>
        <w:color w:val="CCC4BD" w:themeColor="text2"/>
      </w:rPr>
      <w:tblPr/>
      <w:tcPr>
        <w:tcBorders>
          <w:top w:val="single" w:sz="8" w:space="0" w:color="2B144C" w:themeColor="accent6"/>
          <w:bottom w:val="single" w:sz="8" w:space="0" w:color="2B144C" w:themeColor="accent6"/>
        </w:tcBorders>
      </w:tcPr>
    </w:tblStylePr>
    <w:tblStylePr w:type="firstCol">
      <w:rPr>
        <w:b/>
        <w:bCs/>
      </w:rPr>
    </w:tblStylePr>
    <w:tblStylePr w:type="lastCol">
      <w:rPr>
        <w:b/>
        <w:bCs/>
      </w:rPr>
      <w:tblPr/>
      <w:tcPr>
        <w:tcBorders>
          <w:top w:val="single" w:sz="8" w:space="0" w:color="2B144C" w:themeColor="accent6"/>
          <w:bottom w:val="single" w:sz="8" w:space="0" w:color="2B144C" w:themeColor="accent6"/>
        </w:tcBorders>
      </w:tcPr>
    </w:tblStylePr>
    <w:tblStylePr w:type="band1Vert">
      <w:tblPr/>
      <w:tcPr>
        <w:shd w:val="clear" w:color="auto" w:fill="C6AEE9" w:themeFill="accent6" w:themeFillTint="3F"/>
      </w:tcPr>
    </w:tblStylePr>
    <w:tblStylePr w:type="band1Horz">
      <w:tblPr/>
      <w:tcPr>
        <w:shd w:val="clear" w:color="auto" w:fill="C6AEE9" w:themeFill="accent6" w:themeFillTint="3F"/>
      </w:tcPr>
    </w:tblStylePr>
  </w:style>
  <w:style w:type="table" w:styleId="Elencomedio2">
    <w:name w:val="Medium List 2"/>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single" w:sz="8" w:space="0" w:color="4F2D7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00A4B3" w:themeColor="accent2"/>
        <w:left w:val="single" w:sz="8" w:space="0" w:color="00A4B3" w:themeColor="accent2"/>
        <w:bottom w:val="single" w:sz="8" w:space="0" w:color="00A4B3" w:themeColor="accent2"/>
        <w:right w:val="single" w:sz="8" w:space="0" w:color="00A4B3" w:themeColor="accent2"/>
      </w:tblBorders>
    </w:tblPr>
    <w:tblStylePr w:type="firstRow">
      <w:rPr>
        <w:sz w:val="24"/>
        <w:szCs w:val="24"/>
      </w:rPr>
      <w:tblPr/>
      <w:tcPr>
        <w:tcBorders>
          <w:top w:val="nil"/>
          <w:left w:val="nil"/>
          <w:bottom w:val="single" w:sz="24" w:space="0" w:color="00A4B3" w:themeColor="accent2"/>
          <w:right w:val="nil"/>
          <w:insideH w:val="nil"/>
          <w:insideV w:val="nil"/>
        </w:tcBorders>
        <w:shd w:val="clear" w:color="auto" w:fill="FFFFFF" w:themeFill="background1"/>
      </w:tcPr>
    </w:tblStylePr>
    <w:tblStylePr w:type="lastRow">
      <w:tblPr/>
      <w:tcPr>
        <w:tcBorders>
          <w:top w:val="single" w:sz="8" w:space="0" w:color="00A4B3"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4B3" w:themeColor="accent2"/>
          <w:insideH w:val="nil"/>
          <w:insideV w:val="nil"/>
        </w:tcBorders>
        <w:shd w:val="clear" w:color="auto" w:fill="FFFFFF" w:themeFill="background1"/>
      </w:tcPr>
    </w:tblStylePr>
    <w:tblStylePr w:type="lastCol">
      <w:tblPr/>
      <w:tcPr>
        <w:tcBorders>
          <w:top w:val="nil"/>
          <w:left w:val="single" w:sz="8" w:space="0" w:color="00A4B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7FF" w:themeFill="accent2" w:themeFillTint="3F"/>
      </w:tcPr>
    </w:tblStylePr>
    <w:tblStylePr w:type="band1Horz">
      <w:tblPr/>
      <w:tcPr>
        <w:tcBorders>
          <w:top w:val="nil"/>
          <w:bottom w:val="nil"/>
          <w:insideH w:val="nil"/>
          <w:insideV w:val="nil"/>
        </w:tcBorders>
        <w:shd w:val="clear" w:color="auto" w:fill="ADF7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FF5149" w:themeColor="accent3"/>
        <w:left w:val="single" w:sz="8" w:space="0" w:color="FF5149" w:themeColor="accent3"/>
        <w:bottom w:val="single" w:sz="8" w:space="0" w:color="FF5149" w:themeColor="accent3"/>
        <w:right w:val="single" w:sz="8" w:space="0" w:color="FF5149" w:themeColor="accent3"/>
      </w:tblBorders>
    </w:tblPr>
    <w:tblStylePr w:type="firstRow">
      <w:rPr>
        <w:sz w:val="24"/>
        <w:szCs w:val="24"/>
      </w:rPr>
      <w:tblPr/>
      <w:tcPr>
        <w:tcBorders>
          <w:top w:val="nil"/>
          <w:left w:val="nil"/>
          <w:bottom w:val="single" w:sz="24" w:space="0" w:color="FF5149" w:themeColor="accent3"/>
          <w:right w:val="nil"/>
          <w:insideH w:val="nil"/>
          <w:insideV w:val="nil"/>
        </w:tcBorders>
        <w:shd w:val="clear" w:color="auto" w:fill="FFFFFF" w:themeFill="background1"/>
      </w:tcPr>
    </w:tblStylePr>
    <w:tblStylePr w:type="lastRow">
      <w:tblPr/>
      <w:tcPr>
        <w:tcBorders>
          <w:top w:val="single" w:sz="8" w:space="0" w:color="FF514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149" w:themeColor="accent3"/>
          <w:insideH w:val="nil"/>
          <w:insideV w:val="nil"/>
        </w:tcBorders>
        <w:shd w:val="clear" w:color="auto" w:fill="FFFFFF" w:themeFill="background1"/>
      </w:tcPr>
    </w:tblStylePr>
    <w:tblStylePr w:type="lastCol">
      <w:tblPr/>
      <w:tcPr>
        <w:tcBorders>
          <w:top w:val="nil"/>
          <w:left w:val="single" w:sz="8" w:space="0" w:color="FF514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3D2" w:themeFill="accent3" w:themeFillTint="3F"/>
      </w:tcPr>
    </w:tblStylePr>
    <w:tblStylePr w:type="band1Horz">
      <w:tblPr/>
      <w:tcPr>
        <w:tcBorders>
          <w:top w:val="nil"/>
          <w:bottom w:val="nil"/>
          <w:insideH w:val="nil"/>
          <w:insideV w:val="nil"/>
        </w:tcBorders>
        <w:shd w:val="clear" w:color="auto" w:fill="FFD3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FFC23D" w:themeColor="accent4"/>
        <w:left w:val="single" w:sz="8" w:space="0" w:color="FFC23D" w:themeColor="accent4"/>
        <w:bottom w:val="single" w:sz="8" w:space="0" w:color="FFC23D" w:themeColor="accent4"/>
        <w:right w:val="single" w:sz="8" w:space="0" w:color="FFC23D" w:themeColor="accent4"/>
      </w:tblBorders>
    </w:tblPr>
    <w:tblStylePr w:type="firstRow">
      <w:rPr>
        <w:sz w:val="24"/>
        <w:szCs w:val="24"/>
      </w:rPr>
      <w:tblPr/>
      <w:tcPr>
        <w:tcBorders>
          <w:top w:val="nil"/>
          <w:left w:val="nil"/>
          <w:bottom w:val="single" w:sz="24" w:space="0" w:color="FFC23D" w:themeColor="accent4"/>
          <w:right w:val="nil"/>
          <w:insideH w:val="nil"/>
          <w:insideV w:val="nil"/>
        </w:tcBorders>
        <w:shd w:val="clear" w:color="auto" w:fill="FFFFFF" w:themeFill="background1"/>
      </w:tcPr>
    </w:tblStylePr>
    <w:tblStylePr w:type="lastRow">
      <w:tblPr/>
      <w:tcPr>
        <w:tcBorders>
          <w:top w:val="single" w:sz="8" w:space="0" w:color="FFC23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23D" w:themeColor="accent4"/>
          <w:insideH w:val="nil"/>
          <w:insideV w:val="nil"/>
        </w:tcBorders>
        <w:shd w:val="clear" w:color="auto" w:fill="FFFFFF" w:themeFill="background1"/>
      </w:tcPr>
    </w:tblStylePr>
    <w:tblStylePr w:type="lastCol">
      <w:tblPr/>
      <w:tcPr>
        <w:tcBorders>
          <w:top w:val="nil"/>
          <w:left w:val="single" w:sz="8" w:space="0" w:color="FFC23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F" w:themeFill="accent4" w:themeFillTint="3F"/>
      </w:tcPr>
    </w:tblStylePr>
    <w:tblStylePr w:type="band1Horz">
      <w:tblPr/>
      <w:tcPr>
        <w:tcBorders>
          <w:top w:val="nil"/>
          <w:bottom w:val="nil"/>
          <w:insideH w:val="nil"/>
          <w:insideV w:val="nil"/>
        </w:tcBorders>
        <w:shd w:val="clear" w:color="auto" w:fill="FFEFC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A06DFF" w:themeColor="accent5"/>
        <w:left w:val="single" w:sz="8" w:space="0" w:color="A06DFF" w:themeColor="accent5"/>
        <w:bottom w:val="single" w:sz="8" w:space="0" w:color="A06DFF" w:themeColor="accent5"/>
        <w:right w:val="single" w:sz="8" w:space="0" w:color="A06DFF" w:themeColor="accent5"/>
      </w:tblBorders>
    </w:tblPr>
    <w:tblStylePr w:type="firstRow">
      <w:rPr>
        <w:sz w:val="24"/>
        <w:szCs w:val="24"/>
      </w:rPr>
      <w:tblPr/>
      <w:tcPr>
        <w:tcBorders>
          <w:top w:val="nil"/>
          <w:left w:val="nil"/>
          <w:bottom w:val="single" w:sz="24" w:space="0" w:color="A06DFF" w:themeColor="accent5"/>
          <w:right w:val="nil"/>
          <w:insideH w:val="nil"/>
          <w:insideV w:val="nil"/>
        </w:tcBorders>
        <w:shd w:val="clear" w:color="auto" w:fill="FFFFFF" w:themeFill="background1"/>
      </w:tcPr>
    </w:tblStylePr>
    <w:tblStylePr w:type="lastRow">
      <w:tblPr/>
      <w:tcPr>
        <w:tcBorders>
          <w:top w:val="single" w:sz="8" w:space="0" w:color="A06D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6DFF" w:themeColor="accent5"/>
          <w:insideH w:val="nil"/>
          <w:insideV w:val="nil"/>
        </w:tcBorders>
        <w:shd w:val="clear" w:color="auto" w:fill="FFFFFF" w:themeFill="background1"/>
      </w:tcPr>
    </w:tblStylePr>
    <w:tblStylePr w:type="lastCol">
      <w:tblPr/>
      <w:tcPr>
        <w:tcBorders>
          <w:top w:val="nil"/>
          <w:left w:val="single" w:sz="8" w:space="0" w:color="A06D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DAFF" w:themeFill="accent5" w:themeFillTint="3F"/>
      </w:tcPr>
    </w:tblStylePr>
    <w:tblStylePr w:type="band1Horz">
      <w:tblPr/>
      <w:tcPr>
        <w:tcBorders>
          <w:top w:val="nil"/>
          <w:bottom w:val="nil"/>
          <w:insideH w:val="nil"/>
          <w:insideV w:val="nil"/>
        </w:tcBorders>
        <w:shd w:val="clear" w:color="auto" w:fill="E7DA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semiHidden/>
    <w:unhideWhenUsed/>
    <w:rsid w:val="002B0416"/>
    <w:rPr>
      <w:rFonts w:asciiTheme="majorHAnsi" w:eastAsiaTheme="majorEastAsia" w:hAnsiTheme="majorHAnsi" w:cstheme="majorBidi"/>
      <w:color w:val="000000" w:themeColor="text1"/>
    </w:rPr>
    <w:tblPr>
      <w:tblStyleRowBandSize w:val="1"/>
      <w:tblStyleColBandSize w:val="1"/>
      <w:tblBorders>
        <w:top w:val="single" w:sz="8" w:space="0" w:color="2B144C" w:themeColor="accent6"/>
        <w:left w:val="single" w:sz="8" w:space="0" w:color="2B144C" w:themeColor="accent6"/>
        <w:bottom w:val="single" w:sz="8" w:space="0" w:color="2B144C" w:themeColor="accent6"/>
        <w:right w:val="single" w:sz="8" w:space="0" w:color="2B144C" w:themeColor="accent6"/>
      </w:tblBorders>
    </w:tblPr>
    <w:tblStylePr w:type="firstRow">
      <w:rPr>
        <w:sz w:val="24"/>
        <w:szCs w:val="24"/>
      </w:rPr>
      <w:tblPr/>
      <w:tcPr>
        <w:tcBorders>
          <w:top w:val="nil"/>
          <w:left w:val="nil"/>
          <w:bottom w:val="single" w:sz="24" w:space="0" w:color="2B144C" w:themeColor="accent6"/>
          <w:right w:val="nil"/>
          <w:insideH w:val="nil"/>
          <w:insideV w:val="nil"/>
        </w:tcBorders>
        <w:shd w:val="clear" w:color="auto" w:fill="FFFFFF" w:themeFill="background1"/>
      </w:tcPr>
    </w:tblStylePr>
    <w:tblStylePr w:type="lastRow">
      <w:tblPr/>
      <w:tcPr>
        <w:tcBorders>
          <w:top w:val="single" w:sz="8" w:space="0" w:color="2B144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B144C" w:themeColor="accent6"/>
          <w:insideH w:val="nil"/>
          <w:insideV w:val="nil"/>
        </w:tcBorders>
        <w:shd w:val="clear" w:color="auto" w:fill="FFFFFF" w:themeFill="background1"/>
      </w:tcPr>
    </w:tblStylePr>
    <w:tblStylePr w:type="lastCol">
      <w:tblPr/>
      <w:tcPr>
        <w:tcBorders>
          <w:top w:val="nil"/>
          <w:left w:val="single" w:sz="8" w:space="0" w:color="2B144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6AEE9" w:themeFill="accent6" w:themeFillTint="3F"/>
      </w:tcPr>
    </w:tblStylePr>
    <w:tblStylePr w:type="band1Horz">
      <w:tblPr/>
      <w:tcPr>
        <w:tcBorders>
          <w:top w:val="nil"/>
          <w:bottom w:val="nil"/>
          <w:insideH w:val="nil"/>
          <w:insideV w:val="nil"/>
        </w:tcBorders>
        <w:shd w:val="clear" w:color="auto" w:fill="C6AEE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fondomedio1">
    <w:name w:val="Medium Shading 1"/>
    <w:basedOn w:val="Tabellanormale"/>
    <w:uiPriority w:val="63"/>
    <w:semiHidden/>
    <w:unhideWhenUsed/>
    <w:rsid w:val="002B041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semiHidden/>
    <w:unhideWhenUsed/>
    <w:rsid w:val="002B0416"/>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semiHidden/>
    <w:unhideWhenUsed/>
    <w:rsid w:val="002B0416"/>
    <w:tblPr>
      <w:tblStyleRowBandSize w:val="1"/>
      <w:tblStyleColBandSize w:val="1"/>
      <w:tblBorders>
        <w:top w:val="single" w:sz="8" w:space="0" w:color="07E9FF" w:themeColor="accent2" w:themeTint="BF"/>
        <w:left w:val="single" w:sz="8" w:space="0" w:color="07E9FF" w:themeColor="accent2" w:themeTint="BF"/>
        <w:bottom w:val="single" w:sz="8" w:space="0" w:color="07E9FF" w:themeColor="accent2" w:themeTint="BF"/>
        <w:right w:val="single" w:sz="8" w:space="0" w:color="07E9FF" w:themeColor="accent2" w:themeTint="BF"/>
        <w:insideH w:val="single" w:sz="8" w:space="0" w:color="07E9FF" w:themeColor="accent2" w:themeTint="BF"/>
      </w:tblBorders>
    </w:tblPr>
    <w:tblStylePr w:type="firstRow">
      <w:pPr>
        <w:spacing w:before="0" w:after="0" w:line="240" w:lineRule="auto"/>
      </w:pPr>
      <w:rPr>
        <w:b/>
        <w:bCs/>
        <w:color w:val="FFFFFF" w:themeColor="background1"/>
      </w:rPr>
      <w:tblPr/>
      <w:tcPr>
        <w:tcBorders>
          <w:top w:val="single" w:sz="8" w:space="0" w:color="07E9FF" w:themeColor="accent2" w:themeTint="BF"/>
          <w:left w:val="single" w:sz="8" w:space="0" w:color="07E9FF" w:themeColor="accent2" w:themeTint="BF"/>
          <w:bottom w:val="single" w:sz="8" w:space="0" w:color="07E9FF" w:themeColor="accent2" w:themeTint="BF"/>
          <w:right w:val="single" w:sz="8" w:space="0" w:color="07E9FF" w:themeColor="accent2" w:themeTint="BF"/>
          <w:insideH w:val="nil"/>
          <w:insideV w:val="nil"/>
        </w:tcBorders>
        <w:shd w:val="clear" w:color="auto" w:fill="00A4B3" w:themeFill="accent2"/>
      </w:tcPr>
    </w:tblStylePr>
    <w:tblStylePr w:type="lastRow">
      <w:pPr>
        <w:spacing w:before="0" w:after="0" w:line="240" w:lineRule="auto"/>
      </w:pPr>
      <w:rPr>
        <w:b/>
        <w:bCs/>
      </w:rPr>
      <w:tblPr/>
      <w:tcPr>
        <w:tcBorders>
          <w:top w:val="double" w:sz="6" w:space="0" w:color="07E9FF" w:themeColor="accent2" w:themeTint="BF"/>
          <w:left w:val="single" w:sz="8" w:space="0" w:color="07E9FF" w:themeColor="accent2" w:themeTint="BF"/>
          <w:bottom w:val="single" w:sz="8" w:space="0" w:color="07E9FF" w:themeColor="accent2" w:themeTint="BF"/>
          <w:right w:val="single" w:sz="8" w:space="0" w:color="07E9F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DF7FF" w:themeFill="accent2" w:themeFillTint="3F"/>
      </w:tcPr>
    </w:tblStylePr>
    <w:tblStylePr w:type="band1Horz">
      <w:tblPr/>
      <w:tcPr>
        <w:tcBorders>
          <w:insideH w:val="nil"/>
          <w:insideV w:val="nil"/>
        </w:tcBorders>
        <w:shd w:val="clear" w:color="auto" w:fill="ADF7FF"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semiHidden/>
    <w:unhideWhenUsed/>
    <w:rsid w:val="002B0416"/>
    <w:tblPr>
      <w:tblStyleRowBandSize w:val="1"/>
      <w:tblStyleColBandSize w:val="1"/>
      <w:tblBorders>
        <w:top w:val="single" w:sz="8" w:space="0" w:color="FF7C76" w:themeColor="accent3" w:themeTint="BF"/>
        <w:left w:val="single" w:sz="8" w:space="0" w:color="FF7C76" w:themeColor="accent3" w:themeTint="BF"/>
        <w:bottom w:val="single" w:sz="8" w:space="0" w:color="FF7C76" w:themeColor="accent3" w:themeTint="BF"/>
        <w:right w:val="single" w:sz="8" w:space="0" w:color="FF7C76" w:themeColor="accent3" w:themeTint="BF"/>
        <w:insideH w:val="single" w:sz="8" w:space="0" w:color="FF7C76" w:themeColor="accent3" w:themeTint="BF"/>
      </w:tblBorders>
    </w:tblPr>
    <w:tblStylePr w:type="firstRow">
      <w:pPr>
        <w:spacing w:before="0" w:after="0" w:line="240" w:lineRule="auto"/>
      </w:pPr>
      <w:rPr>
        <w:b/>
        <w:bCs/>
        <w:color w:val="FFFFFF" w:themeColor="background1"/>
      </w:rPr>
      <w:tblPr/>
      <w:tcPr>
        <w:tcBorders>
          <w:top w:val="single" w:sz="8" w:space="0" w:color="FF7C76" w:themeColor="accent3" w:themeTint="BF"/>
          <w:left w:val="single" w:sz="8" w:space="0" w:color="FF7C76" w:themeColor="accent3" w:themeTint="BF"/>
          <w:bottom w:val="single" w:sz="8" w:space="0" w:color="FF7C76" w:themeColor="accent3" w:themeTint="BF"/>
          <w:right w:val="single" w:sz="8" w:space="0" w:color="FF7C76" w:themeColor="accent3" w:themeTint="BF"/>
          <w:insideH w:val="nil"/>
          <w:insideV w:val="nil"/>
        </w:tcBorders>
        <w:shd w:val="clear" w:color="auto" w:fill="FF5149" w:themeFill="accent3"/>
      </w:tcPr>
    </w:tblStylePr>
    <w:tblStylePr w:type="lastRow">
      <w:pPr>
        <w:spacing w:before="0" w:after="0" w:line="240" w:lineRule="auto"/>
      </w:pPr>
      <w:rPr>
        <w:b/>
        <w:bCs/>
      </w:rPr>
      <w:tblPr/>
      <w:tcPr>
        <w:tcBorders>
          <w:top w:val="double" w:sz="6" w:space="0" w:color="FF7C76" w:themeColor="accent3" w:themeTint="BF"/>
          <w:left w:val="single" w:sz="8" w:space="0" w:color="FF7C76" w:themeColor="accent3" w:themeTint="BF"/>
          <w:bottom w:val="single" w:sz="8" w:space="0" w:color="FF7C76" w:themeColor="accent3" w:themeTint="BF"/>
          <w:right w:val="single" w:sz="8" w:space="0" w:color="FF7C76"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D3D2" w:themeFill="accent3" w:themeFillTint="3F"/>
      </w:tcPr>
    </w:tblStylePr>
    <w:tblStylePr w:type="band1Horz">
      <w:tblPr/>
      <w:tcPr>
        <w:tcBorders>
          <w:insideH w:val="nil"/>
          <w:insideV w:val="nil"/>
        </w:tcBorders>
        <w:shd w:val="clear" w:color="auto" w:fill="FFD3D2"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semiHidden/>
    <w:unhideWhenUsed/>
    <w:rsid w:val="002B0416"/>
    <w:tblPr>
      <w:tblStyleRowBandSize w:val="1"/>
      <w:tblStyleColBandSize w:val="1"/>
      <w:tblBorders>
        <w:top w:val="single" w:sz="8" w:space="0" w:color="FFD06D" w:themeColor="accent4" w:themeTint="BF"/>
        <w:left w:val="single" w:sz="8" w:space="0" w:color="FFD06D" w:themeColor="accent4" w:themeTint="BF"/>
        <w:bottom w:val="single" w:sz="8" w:space="0" w:color="FFD06D" w:themeColor="accent4" w:themeTint="BF"/>
        <w:right w:val="single" w:sz="8" w:space="0" w:color="FFD06D" w:themeColor="accent4" w:themeTint="BF"/>
        <w:insideH w:val="single" w:sz="8" w:space="0" w:color="FFD06D" w:themeColor="accent4" w:themeTint="BF"/>
      </w:tblBorders>
    </w:tblPr>
    <w:tblStylePr w:type="firstRow">
      <w:pPr>
        <w:spacing w:before="0" w:after="0" w:line="240" w:lineRule="auto"/>
      </w:pPr>
      <w:rPr>
        <w:b/>
        <w:bCs/>
        <w:color w:val="FFFFFF" w:themeColor="background1"/>
      </w:rPr>
      <w:tblPr/>
      <w:tcPr>
        <w:tcBorders>
          <w:top w:val="single" w:sz="8" w:space="0" w:color="FFD06D" w:themeColor="accent4" w:themeTint="BF"/>
          <w:left w:val="single" w:sz="8" w:space="0" w:color="FFD06D" w:themeColor="accent4" w:themeTint="BF"/>
          <w:bottom w:val="single" w:sz="8" w:space="0" w:color="FFD06D" w:themeColor="accent4" w:themeTint="BF"/>
          <w:right w:val="single" w:sz="8" w:space="0" w:color="FFD06D" w:themeColor="accent4" w:themeTint="BF"/>
          <w:insideH w:val="nil"/>
          <w:insideV w:val="nil"/>
        </w:tcBorders>
        <w:shd w:val="clear" w:color="auto" w:fill="FFC23D" w:themeFill="accent4"/>
      </w:tcPr>
    </w:tblStylePr>
    <w:tblStylePr w:type="lastRow">
      <w:pPr>
        <w:spacing w:before="0" w:after="0" w:line="240" w:lineRule="auto"/>
      </w:pPr>
      <w:rPr>
        <w:b/>
        <w:bCs/>
      </w:rPr>
      <w:tblPr/>
      <w:tcPr>
        <w:tcBorders>
          <w:top w:val="double" w:sz="6" w:space="0" w:color="FFD06D" w:themeColor="accent4" w:themeTint="BF"/>
          <w:left w:val="single" w:sz="8" w:space="0" w:color="FFD06D" w:themeColor="accent4" w:themeTint="BF"/>
          <w:bottom w:val="single" w:sz="8" w:space="0" w:color="FFD06D" w:themeColor="accent4" w:themeTint="BF"/>
          <w:right w:val="single" w:sz="8" w:space="0" w:color="FFD06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F" w:themeFill="accent4" w:themeFillTint="3F"/>
      </w:tcPr>
    </w:tblStylePr>
    <w:tblStylePr w:type="band1Horz">
      <w:tblPr/>
      <w:tcPr>
        <w:tcBorders>
          <w:insideH w:val="nil"/>
          <w:insideV w:val="nil"/>
        </w:tcBorders>
        <w:shd w:val="clear" w:color="auto" w:fill="FFEFCF"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semiHidden/>
    <w:unhideWhenUsed/>
    <w:rsid w:val="002B0416"/>
    <w:tblPr>
      <w:tblStyleRowBandSize w:val="1"/>
      <w:tblStyleColBandSize w:val="1"/>
      <w:tblBorders>
        <w:top w:val="single" w:sz="8" w:space="0" w:color="B791FF" w:themeColor="accent5" w:themeTint="BF"/>
        <w:left w:val="single" w:sz="8" w:space="0" w:color="B791FF" w:themeColor="accent5" w:themeTint="BF"/>
        <w:bottom w:val="single" w:sz="8" w:space="0" w:color="B791FF" w:themeColor="accent5" w:themeTint="BF"/>
        <w:right w:val="single" w:sz="8" w:space="0" w:color="B791FF" w:themeColor="accent5" w:themeTint="BF"/>
        <w:insideH w:val="single" w:sz="8" w:space="0" w:color="B791FF" w:themeColor="accent5" w:themeTint="BF"/>
      </w:tblBorders>
    </w:tblPr>
    <w:tblStylePr w:type="firstRow">
      <w:pPr>
        <w:spacing w:before="0" w:after="0" w:line="240" w:lineRule="auto"/>
      </w:pPr>
      <w:rPr>
        <w:b/>
        <w:bCs/>
        <w:color w:val="FFFFFF" w:themeColor="background1"/>
      </w:rPr>
      <w:tblPr/>
      <w:tcPr>
        <w:tcBorders>
          <w:top w:val="single" w:sz="8" w:space="0" w:color="B791FF" w:themeColor="accent5" w:themeTint="BF"/>
          <w:left w:val="single" w:sz="8" w:space="0" w:color="B791FF" w:themeColor="accent5" w:themeTint="BF"/>
          <w:bottom w:val="single" w:sz="8" w:space="0" w:color="B791FF" w:themeColor="accent5" w:themeTint="BF"/>
          <w:right w:val="single" w:sz="8" w:space="0" w:color="B791FF" w:themeColor="accent5" w:themeTint="BF"/>
          <w:insideH w:val="nil"/>
          <w:insideV w:val="nil"/>
        </w:tcBorders>
        <w:shd w:val="clear" w:color="auto" w:fill="A06DFF" w:themeFill="accent5"/>
      </w:tcPr>
    </w:tblStylePr>
    <w:tblStylePr w:type="lastRow">
      <w:pPr>
        <w:spacing w:before="0" w:after="0" w:line="240" w:lineRule="auto"/>
      </w:pPr>
      <w:rPr>
        <w:b/>
        <w:bCs/>
      </w:rPr>
      <w:tblPr/>
      <w:tcPr>
        <w:tcBorders>
          <w:top w:val="double" w:sz="6" w:space="0" w:color="B791FF" w:themeColor="accent5" w:themeTint="BF"/>
          <w:left w:val="single" w:sz="8" w:space="0" w:color="B791FF" w:themeColor="accent5" w:themeTint="BF"/>
          <w:bottom w:val="single" w:sz="8" w:space="0" w:color="B791FF" w:themeColor="accent5" w:themeTint="BF"/>
          <w:right w:val="single" w:sz="8" w:space="0" w:color="B791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DAFF" w:themeFill="accent5" w:themeFillTint="3F"/>
      </w:tcPr>
    </w:tblStylePr>
    <w:tblStylePr w:type="band1Horz">
      <w:tblPr/>
      <w:tcPr>
        <w:tcBorders>
          <w:insideH w:val="nil"/>
          <w:insideV w:val="nil"/>
        </w:tcBorders>
        <w:shd w:val="clear" w:color="auto" w:fill="E7DAFF"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semiHidden/>
    <w:unhideWhenUsed/>
    <w:rsid w:val="002B0416"/>
    <w:tblPr>
      <w:tblStyleRowBandSize w:val="1"/>
      <w:tblStyleColBandSize w:val="1"/>
      <w:tblBorders>
        <w:top w:val="single" w:sz="8" w:space="0" w:color="59299E" w:themeColor="accent6" w:themeTint="BF"/>
        <w:left w:val="single" w:sz="8" w:space="0" w:color="59299E" w:themeColor="accent6" w:themeTint="BF"/>
        <w:bottom w:val="single" w:sz="8" w:space="0" w:color="59299E" w:themeColor="accent6" w:themeTint="BF"/>
        <w:right w:val="single" w:sz="8" w:space="0" w:color="59299E" w:themeColor="accent6" w:themeTint="BF"/>
        <w:insideH w:val="single" w:sz="8" w:space="0" w:color="59299E" w:themeColor="accent6" w:themeTint="BF"/>
      </w:tblBorders>
    </w:tblPr>
    <w:tblStylePr w:type="firstRow">
      <w:pPr>
        <w:spacing w:before="0" w:after="0" w:line="240" w:lineRule="auto"/>
      </w:pPr>
      <w:rPr>
        <w:b/>
        <w:bCs/>
        <w:color w:val="FFFFFF" w:themeColor="background1"/>
      </w:rPr>
      <w:tblPr/>
      <w:tcPr>
        <w:tcBorders>
          <w:top w:val="single" w:sz="8" w:space="0" w:color="59299E" w:themeColor="accent6" w:themeTint="BF"/>
          <w:left w:val="single" w:sz="8" w:space="0" w:color="59299E" w:themeColor="accent6" w:themeTint="BF"/>
          <w:bottom w:val="single" w:sz="8" w:space="0" w:color="59299E" w:themeColor="accent6" w:themeTint="BF"/>
          <w:right w:val="single" w:sz="8" w:space="0" w:color="59299E" w:themeColor="accent6" w:themeTint="BF"/>
          <w:insideH w:val="nil"/>
          <w:insideV w:val="nil"/>
        </w:tcBorders>
        <w:shd w:val="clear" w:color="auto" w:fill="2B144C" w:themeFill="accent6"/>
      </w:tcPr>
    </w:tblStylePr>
    <w:tblStylePr w:type="lastRow">
      <w:pPr>
        <w:spacing w:before="0" w:after="0" w:line="240" w:lineRule="auto"/>
      </w:pPr>
      <w:rPr>
        <w:b/>
        <w:bCs/>
      </w:rPr>
      <w:tblPr/>
      <w:tcPr>
        <w:tcBorders>
          <w:top w:val="double" w:sz="6" w:space="0" w:color="59299E" w:themeColor="accent6" w:themeTint="BF"/>
          <w:left w:val="single" w:sz="8" w:space="0" w:color="59299E" w:themeColor="accent6" w:themeTint="BF"/>
          <w:bottom w:val="single" w:sz="8" w:space="0" w:color="59299E" w:themeColor="accent6" w:themeTint="BF"/>
          <w:right w:val="single" w:sz="8" w:space="0" w:color="59299E" w:themeColor="accent6" w:themeTint="BF"/>
          <w:insideH w:val="nil"/>
          <w:insideV w:val="nil"/>
        </w:tcBorders>
      </w:tcPr>
    </w:tblStylePr>
    <w:tblStylePr w:type="firstCol">
      <w:rPr>
        <w:b/>
        <w:bCs/>
      </w:rPr>
    </w:tblStylePr>
    <w:tblStylePr w:type="lastCol">
      <w:rPr>
        <w:b/>
        <w:bCs/>
      </w:rPr>
    </w:tblStylePr>
    <w:tblStylePr w:type="band1Vert">
      <w:tblPr/>
      <w:tcPr>
        <w:shd w:val="clear" w:color="auto" w:fill="C6AEE9" w:themeFill="accent6" w:themeFillTint="3F"/>
      </w:tcPr>
    </w:tblStylePr>
    <w:tblStylePr w:type="band1Horz">
      <w:tblPr/>
      <w:tcPr>
        <w:tcBorders>
          <w:insideH w:val="nil"/>
          <w:insideV w:val="nil"/>
        </w:tcBorders>
        <w:shd w:val="clear" w:color="auto" w:fill="C6AEE9"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4B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A4B3" w:themeFill="accent2"/>
      </w:tcPr>
    </w:tblStylePr>
    <w:tblStylePr w:type="lastCol">
      <w:rPr>
        <w:b/>
        <w:bCs/>
        <w:color w:val="FFFFFF" w:themeColor="background1"/>
      </w:rPr>
      <w:tblPr/>
      <w:tcPr>
        <w:tcBorders>
          <w:left w:val="nil"/>
          <w:right w:val="nil"/>
          <w:insideH w:val="nil"/>
          <w:insideV w:val="nil"/>
        </w:tcBorders>
        <w:shd w:val="clear" w:color="auto" w:fill="00A4B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14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149" w:themeFill="accent3"/>
      </w:tcPr>
    </w:tblStylePr>
    <w:tblStylePr w:type="lastCol">
      <w:rPr>
        <w:b/>
        <w:bCs/>
        <w:color w:val="FFFFFF" w:themeColor="background1"/>
      </w:rPr>
      <w:tblPr/>
      <w:tcPr>
        <w:tcBorders>
          <w:left w:val="nil"/>
          <w:right w:val="nil"/>
          <w:insideH w:val="nil"/>
          <w:insideV w:val="nil"/>
        </w:tcBorders>
        <w:shd w:val="clear" w:color="auto" w:fill="FF514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23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23D" w:themeFill="accent4"/>
      </w:tcPr>
    </w:tblStylePr>
    <w:tblStylePr w:type="lastCol">
      <w:rPr>
        <w:b/>
        <w:bCs/>
        <w:color w:val="FFFFFF" w:themeColor="background1"/>
      </w:rPr>
      <w:tblPr/>
      <w:tcPr>
        <w:tcBorders>
          <w:left w:val="nil"/>
          <w:right w:val="nil"/>
          <w:insideH w:val="nil"/>
          <w:insideV w:val="nil"/>
        </w:tcBorders>
        <w:shd w:val="clear" w:color="auto" w:fill="FFC23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6DF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6DFF" w:themeFill="accent5"/>
      </w:tcPr>
    </w:tblStylePr>
    <w:tblStylePr w:type="lastCol">
      <w:rPr>
        <w:b/>
        <w:bCs/>
        <w:color w:val="FFFFFF" w:themeColor="background1"/>
      </w:rPr>
      <w:tblPr/>
      <w:tcPr>
        <w:tcBorders>
          <w:left w:val="nil"/>
          <w:right w:val="nil"/>
          <w:insideH w:val="nil"/>
          <w:insideV w:val="nil"/>
        </w:tcBorders>
        <w:shd w:val="clear" w:color="auto" w:fill="A06DF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semiHidden/>
    <w:unhideWhenUsed/>
    <w:rsid w:val="002B041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B144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B144C" w:themeFill="accent6"/>
      </w:tcPr>
    </w:tblStylePr>
    <w:tblStylePr w:type="lastCol">
      <w:rPr>
        <w:b/>
        <w:bCs/>
        <w:color w:val="FFFFFF" w:themeColor="background1"/>
      </w:rPr>
      <w:tblPr/>
      <w:tcPr>
        <w:tcBorders>
          <w:left w:val="nil"/>
          <w:right w:val="nil"/>
          <w:insideH w:val="nil"/>
          <w:insideV w:val="nil"/>
        </w:tcBorders>
        <w:shd w:val="clear" w:color="auto" w:fill="2B144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zione">
    <w:name w:val="Mention"/>
    <w:basedOn w:val="Carpredefinitoparagrafo"/>
    <w:uiPriority w:val="99"/>
    <w:semiHidden/>
    <w:unhideWhenUsed/>
    <w:rsid w:val="002B0416"/>
    <w:rPr>
      <w:color w:val="2B579A"/>
      <w:shd w:val="clear" w:color="auto" w:fill="E1DFDD"/>
    </w:rPr>
  </w:style>
  <w:style w:type="table" w:styleId="Tabellasemplice-1">
    <w:name w:val="Plain Table 1"/>
    <w:basedOn w:val="Tabellanormale"/>
    <w:uiPriority w:val="41"/>
    <w:rsid w:val="002B041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2B041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3">
    <w:name w:val="Plain Table 3"/>
    <w:basedOn w:val="Tabellanormale"/>
    <w:uiPriority w:val="43"/>
    <w:rsid w:val="002B041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semplice4">
    <w:name w:val="Plain Table 4"/>
    <w:basedOn w:val="Tabellanormale"/>
    <w:uiPriority w:val="44"/>
    <w:rsid w:val="002B041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5">
    <w:name w:val="Plain Table 5"/>
    <w:basedOn w:val="Tabellanormale"/>
    <w:uiPriority w:val="45"/>
    <w:rsid w:val="002B041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llegamentoipertestualeintelligente">
    <w:name w:val="Smart Hyperlink"/>
    <w:basedOn w:val="Carpredefinitoparagrafo"/>
    <w:uiPriority w:val="99"/>
    <w:semiHidden/>
    <w:unhideWhenUsed/>
    <w:rsid w:val="002B0416"/>
    <w:rPr>
      <w:u w:val="dotted"/>
    </w:rPr>
  </w:style>
  <w:style w:type="character" w:styleId="SmartLink">
    <w:name w:val="Smart Link"/>
    <w:basedOn w:val="Carpredefinitoparagrafo"/>
    <w:uiPriority w:val="99"/>
    <w:semiHidden/>
    <w:unhideWhenUsed/>
    <w:rsid w:val="002B0416"/>
    <w:rPr>
      <w:color w:val="0000FF"/>
      <w:u w:val="single"/>
      <w:shd w:val="clear" w:color="auto" w:fill="F3F2F1"/>
    </w:rPr>
  </w:style>
  <w:style w:type="table" w:styleId="Tabellaeffetti3D1">
    <w:name w:val="Table 3D effects 1"/>
    <w:basedOn w:val="Tabellanormale"/>
    <w:semiHidden/>
    <w:unhideWhenUsed/>
    <w:rsid w:val="002B0416"/>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semiHidden/>
    <w:unhideWhenUsed/>
    <w:rsid w:val="002B0416"/>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ffetti3D3">
    <w:name w:val="Table 3D effects 3"/>
    <w:basedOn w:val="Tabellanormale"/>
    <w:semiHidden/>
    <w:unhideWhenUsed/>
    <w:rsid w:val="002B0416"/>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1">
    <w:name w:val="Table Classic 1"/>
    <w:basedOn w:val="Tabellanormale"/>
    <w:semiHidden/>
    <w:unhideWhenUsed/>
    <w:rsid w:val="002B0416"/>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2">
    <w:name w:val="Table Classic 2"/>
    <w:basedOn w:val="Tabellanormale"/>
    <w:semiHidden/>
    <w:unhideWhenUsed/>
    <w:rsid w:val="002B0416"/>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semiHidden/>
    <w:unhideWhenUsed/>
    <w:rsid w:val="002B0416"/>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aclassica4">
    <w:name w:val="Table Classic 4"/>
    <w:basedOn w:val="Tabellanormale"/>
    <w:semiHidden/>
    <w:unhideWhenUsed/>
    <w:rsid w:val="002B0416"/>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aacolori1">
    <w:name w:val="Table Colorful 1"/>
    <w:basedOn w:val="Tabellanormale"/>
    <w:semiHidden/>
    <w:unhideWhenUsed/>
    <w:rsid w:val="002B0416"/>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aacolori2">
    <w:name w:val="Table Colorful 2"/>
    <w:basedOn w:val="Tabellanormale"/>
    <w:semiHidden/>
    <w:unhideWhenUsed/>
    <w:rsid w:val="002B0416"/>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acolori3">
    <w:name w:val="Table Colorful 3"/>
    <w:basedOn w:val="Tabellanormale"/>
    <w:semiHidden/>
    <w:unhideWhenUsed/>
    <w:rsid w:val="002B0416"/>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acolonne1">
    <w:name w:val="Table Columns 1"/>
    <w:basedOn w:val="Tabellanormale"/>
    <w:semiHidden/>
    <w:unhideWhenUsed/>
    <w:rsid w:val="002B0416"/>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2">
    <w:name w:val="Table Columns 2"/>
    <w:basedOn w:val="Tabellanormale"/>
    <w:semiHidden/>
    <w:unhideWhenUsed/>
    <w:rsid w:val="002B0416"/>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3">
    <w:name w:val="Table Columns 3"/>
    <w:basedOn w:val="Tabellanormale"/>
    <w:semiHidden/>
    <w:unhideWhenUsed/>
    <w:rsid w:val="002B0416"/>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acolonne4">
    <w:name w:val="Table Columns 4"/>
    <w:basedOn w:val="Tabellanormale"/>
    <w:semiHidden/>
    <w:unhideWhenUsed/>
    <w:rsid w:val="002B0416"/>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acolonne5">
    <w:name w:val="Table Columns 5"/>
    <w:basedOn w:val="Tabellanormale"/>
    <w:semiHidden/>
    <w:unhideWhenUsed/>
    <w:rsid w:val="002B0416"/>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acontemporanea">
    <w:name w:val="Table Contemporary"/>
    <w:basedOn w:val="Tabellanormale"/>
    <w:semiHidden/>
    <w:unhideWhenUsed/>
    <w:rsid w:val="002B0416"/>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aelegante">
    <w:name w:val="Table Elegant"/>
    <w:basedOn w:val="Tabellanormale"/>
    <w:semiHidden/>
    <w:unhideWhenUsed/>
    <w:rsid w:val="002B0416"/>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gliatabella">
    <w:name w:val="Table Grid"/>
    <w:basedOn w:val="Tabellanormale"/>
    <w:rsid w:val="002B0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1">
    <w:name w:val="Table Grid 1"/>
    <w:basedOn w:val="Tabellanormale"/>
    <w:semiHidden/>
    <w:unhideWhenUsed/>
    <w:rsid w:val="002B0416"/>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2">
    <w:name w:val="Table Grid 2"/>
    <w:basedOn w:val="Tabellanormale"/>
    <w:semiHidden/>
    <w:unhideWhenUsed/>
    <w:rsid w:val="002B0416"/>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3">
    <w:name w:val="Table Grid 3"/>
    <w:basedOn w:val="Tabellanormale"/>
    <w:semiHidden/>
    <w:unhideWhenUsed/>
    <w:rsid w:val="002B0416"/>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4">
    <w:name w:val="Table Grid 4"/>
    <w:basedOn w:val="Tabellanormale"/>
    <w:semiHidden/>
    <w:unhideWhenUsed/>
    <w:rsid w:val="002B0416"/>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5">
    <w:name w:val="Table Grid 5"/>
    <w:basedOn w:val="Tabellanormale"/>
    <w:semiHidden/>
    <w:unhideWhenUsed/>
    <w:rsid w:val="002B0416"/>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6">
    <w:name w:val="Table Grid 6"/>
    <w:basedOn w:val="Tabellanormale"/>
    <w:semiHidden/>
    <w:unhideWhenUsed/>
    <w:rsid w:val="002B0416"/>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7">
    <w:name w:val="Table Grid 7"/>
    <w:basedOn w:val="Tabellanormale"/>
    <w:semiHidden/>
    <w:unhideWhenUsed/>
    <w:rsid w:val="002B0416"/>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8">
    <w:name w:val="Table Grid 8"/>
    <w:basedOn w:val="Tabellanormale"/>
    <w:semiHidden/>
    <w:unhideWhenUsed/>
    <w:rsid w:val="002B0416"/>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gliatabellachiara">
    <w:name w:val="Grid Table Light"/>
    <w:basedOn w:val="Tabellanormale"/>
    <w:uiPriority w:val="40"/>
    <w:rsid w:val="002B04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lencotabella1">
    <w:name w:val="Table List 1"/>
    <w:basedOn w:val="Tabellanormale"/>
    <w:semiHidden/>
    <w:unhideWhenUsed/>
    <w:rsid w:val="002B0416"/>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2">
    <w:name w:val="Table List 2"/>
    <w:basedOn w:val="Tabellanormale"/>
    <w:semiHidden/>
    <w:unhideWhenUsed/>
    <w:rsid w:val="002B0416"/>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3">
    <w:name w:val="Table List 3"/>
    <w:basedOn w:val="Tabellanormale"/>
    <w:semiHidden/>
    <w:unhideWhenUsed/>
    <w:rsid w:val="002B0416"/>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Elencotabella4">
    <w:name w:val="Table List 4"/>
    <w:basedOn w:val="Tabellanormale"/>
    <w:semiHidden/>
    <w:unhideWhenUsed/>
    <w:rsid w:val="002B0416"/>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semiHidden/>
    <w:unhideWhenUsed/>
    <w:rsid w:val="002B0416"/>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Elencotabella6">
    <w:name w:val="Table List 6"/>
    <w:basedOn w:val="Tabellanormale"/>
    <w:semiHidden/>
    <w:unhideWhenUsed/>
    <w:rsid w:val="002B0416"/>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Elencotabella7">
    <w:name w:val="Table List 7"/>
    <w:basedOn w:val="Tabellanormale"/>
    <w:semiHidden/>
    <w:unhideWhenUsed/>
    <w:rsid w:val="002B0416"/>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Elencotabella8">
    <w:name w:val="Table List 8"/>
    <w:basedOn w:val="Tabellanormale"/>
    <w:semiHidden/>
    <w:unhideWhenUsed/>
    <w:rsid w:val="002B0416"/>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aprofessionale">
    <w:name w:val="Table Professional"/>
    <w:basedOn w:val="Tabellanormale"/>
    <w:semiHidden/>
    <w:unhideWhenUsed/>
    <w:rsid w:val="002B0416"/>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semiHidden/>
    <w:unhideWhenUsed/>
    <w:rsid w:val="002B0416"/>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semiHidden/>
    <w:unhideWhenUsed/>
    <w:rsid w:val="002B0416"/>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semiHidden/>
    <w:unhideWhenUsed/>
    <w:rsid w:val="002B0416"/>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conombreggiatura1">
    <w:name w:val="Table Subtle 1"/>
    <w:basedOn w:val="Tabellanormale"/>
    <w:semiHidden/>
    <w:unhideWhenUsed/>
    <w:rsid w:val="002B0416"/>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ombreggiatura2">
    <w:name w:val="Table Subtle 2"/>
    <w:basedOn w:val="Tabellanormale"/>
    <w:semiHidden/>
    <w:unhideWhenUsed/>
    <w:rsid w:val="002B0416"/>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tema">
    <w:name w:val="Table Theme"/>
    <w:basedOn w:val="Tabellanormale"/>
    <w:semiHidden/>
    <w:unhideWhenUsed/>
    <w:rsid w:val="002B0416"/>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Web1">
    <w:name w:val="Table Web 1"/>
    <w:basedOn w:val="Tabellanormale"/>
    <w:semiHidden/>
    <w:unhideWhenUsed/>
    <w:rsid w:val="002B0416"/>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semiHidden/>
    <w:unhideWhenUsed/>
    <w:rsid w:val="002B0416"/>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3">
    <w:name w:val="Table Web 3"/>
    <w:basedOn w:val="Tabellanormale"/>
    <w:semiHidden/>
    <w:unhideWhenUsed/>
    <w:rsid w:val="002B0416"/>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zionenonrisolta">
    <w:name w:val="Unresolved Mention"/>
    <w:basedOn w:val="Carpredefinitoparagrafo"/>
    <w:uiPriority w:val="99"/>
    <w:semiHidden/>
    <w:unhideWhenUsed/>
    <w:rsid w:val="002B0416"/>
    <w:rPr>
      <w:color w:val="605E5C"/>
      <w:shd w:val="clear" w:color="auto" w:fill="E1DFDD"/>
    </w:rPr>
  </w:style>
  <w:style w:type="paragraph" w:customStyle="1" w:styleId="Address1">
    <w:name w:val="Address1"/>
    <w:basedOn w:val="PartnerAddress"/>
    <w:rsid w:val="005876F4"/>
    <w:pPr>
      <w:spacing w:after="120"/>
    </w:pPr>
    <w:rPr>
      <w:color w:val="4F2D7F" w:themeColor="accent1"/>
      <w:szCs w:val="16"/>
    </w:rPr>
  </w:style>
  <w:style w:type="paragraph" w:styleId="Revisione">
    <w:name w:val="Revision"/>
    <w:hidden/>
    <w:uiPriority w:val="99"/>
    <w:semiHidden/>
    <w:rsid w:val="003121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74484">
      <w:bodyDiv w:val="1"/>
      <w:marLeft w:val="0"/>
      <w:marRight w:val="0"/>
      <w:marTop w:val="0"/>
      <w:marBottom w:val="0"/>
      <w:divBdr>
        <w:top w:val="none" w:sz="0" w:space="0" w:color="auto"/>
        <w:left w:val="none" w:sz="0" w:space="0" w:color="auto"/>
        <w:bottom w:val="none" w:sz="0" w:space="0" w:color="auto"/>
        <w:right w:val="none" w:sz="0" w:space="0" w:color="auto"/>
      </w:divBdr>
    </w:div>
    <w:div w:id="232588868">
      <w:bodyDiv w:val="1"/>
      <w:marLeft w:val="0"/>
      <w:marRight w:val="0"/>
      <w:marTop w:val="0"/>
      <w:marBottom w:val="0"/>
      <w:divBdr>
        <w:top w:val="none" w:sz="0" w:space="0" w:color="auto"/>
        <w:left w:val="none" w:sz="0" w:space="0" w:color="auto"/>
        <w:bottom w:val="none" w:sz="0" w:space="0" w:color="auto"/>
        <w:right w:val="none" w:sz="0" w:space="0" w:color="auto"/>
      </w:divBdr>
      <w:divsChild>
        <w:div w:id="12052858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263762">
      <w:bodyDiv w:val="1"/>
      <w:marLeft w:val="0"/>
      <w:marRight w:val="0"/>
      <w:marTop w:val="0"/>
      <w:marBottom w:val="0"/>
      <w:divBdr>
        <w:top w:val="none" w:sz="0" w:space="0" w:color="auto"/>
        <w:left w:val="none" w:sz="0" w:space="0" w:color="auto"/>
        <w:bottom w:val="none" w:sz="0" w:space="0" w:color="auto"/>
        <w:right w:val="none" w:sz="0" w:space="0" w:color="auto"/>
      </w:divBdr>
    </w:div>
    <w:div w:id="1326081681">
      <w:bodyDiv w:val="1"/>
      <w:marLeft w:val="0"/>
      <w:marRight w:val="0"/>
      <w:marTop w:val="0"/>
      <w:marBottom w:val="0"/>
      <w:divBdr>
        <w:top w:val="none" w:sz="0" w:space="0" w:color="auto"/>
        <w:left w:val="none" w:sz="0" w:space="0" w:color="auto"/>
        <w:bottom w:val="none" w:sz="0" w:space="0" w:color="auto"/>
        <w:right w:val="none" w:sz="0" w:space="0" w:color="auto"/>
      </w:divBdr>
      <w:divsChild>
        <w:div w:id="816799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907098">
      <w:bodyDiv w:val="1"/>
      <w:marLeft w:val="0"/>
      <w:marRight w:val="0"/>
      <w:marTop w:val="0"/>
      <w:marBottom w:val="0"/>
      <w:divBdr>
        <w:top w:val="none" w:sz="0" w:space="0" w:color="auto"/>
        <w:left w:val="none" w:sz="0" w:space="0" w:color="auto"/>
        <w:bottom w:val="none" w:sz="0" w:space="0" w:color="auto"/>
        <w:right w:val="none" w:sz="0" w:space="0" w:color="auto"/>
      </w:divBdr>
    </w:div>
    <w:div w:id="1981379575">
      <w:bodyDiv w:val="1"/>
      <w:marLeft w:val="0"/>
      <w:marRight w:val="0"/>
      <w:marTop w:val="0"/>
      <w:marBottom w:val="0"/>
      <w:divBdr>
        <w:top w:val="none" w:sz="0" w:space="0" w:color="auto"/>
        <w:left w:val="none" w:sz="0" w:space="0" w:color="auto"/>
        <w:bottom w:val="none" w:sz="0" w:space="0" w:color="auto"/>
        <w:right w:val="none" w:sz="0" w:space="0" w:color="auto"/>
      </w:divBdr>
    </w:div>
    <w:div w:id="1988632993">
      <w:bodyDiv w:val="1"/>
      <w:marLeft w:val="0"/>
      <w:marRight w:val="0"/>
      <w:marTop w:val="0"/>
      <w:marBottom w:val="0"/>
      <w:divBdr>
        <w:top w:val="none" w:sz="0" w:space="0" w:color="auto"/>
        <w:left w:val="none" w:sz="0" w:space="0" w:color="auto"/>
        <w:bottom w:val="none" w:sz="0" w:space="0" w:color="auto"/>
        <w:right w:val="none" w:sz="0" w:space="0" w:color="auto"/>
      </w:divBdr>
    </w:div>
    <w:div w:id="208930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12pc\Downloads\Memo%20-%20without%20office%20addres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5CB12E15EC4ADEA3720DF9EC468A48"/>
        <w:category>
          <w:name w:val="Generale"/>
          <w:gallery w:val="placeholder"/>
        </w:category>
        <w:types>
          <w:type w:val="bbPlcHdr"/>
        </w:types>
        <w:behaviors>
          <w:behavior w:val="content"/>
        </w:behaviors>
        <w:guid w:val="{EC2C867C-8AAC-41CC-BE3D-8CE8D8BF3F9D}"/>
      </w:docPartPr>
      <w:docPartBody>
        <w:p w:rsidR="001D3D9E" w:rsidRDefault="00456C26">
          <w:pPr>
            <w:pStyle w:val="555CB12E15EC4ADEA3720DF9EC468A48"/>
          </w:pPr>
          <w:r w:rsidRPr="0063174B">
            <w:rPr>
              <w:rStyle w:val="Testosegnapos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Bold">
    <w:altName w:val="Garamond"/>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D09"/>
    <w:rsid w:val="000A1C76"/>
    <w:rsid w:val="000D7802"/>
    <w:rsid w:val="000F5C2C"/>
    <w:rsid w:val="00174FCB"/>
    <w:rsid w:val="00190905"/>
    <w:rsid w:val="001D3D9E"/>
    <w:rsid w:val="00202E57"/>
    <w:rsid w:val="002664E7"/>
    <w:rsid w:val="002C1F46"/>
    <w:rsid w:val="003B2AAC"/>
    <w:rsid w:val="003B55B7"/>
    <w:rsid w:val="003B79EB"/>
    <w:rsid w:val="003C7801"/>
    <w:rsid w:val="003F1FDC"/>
    <w:rsid w:val="00456C26"/>
    <w:rsid w:val="00462AFF"/>
    <w:rsid w:val="004919D3"/>
    <w:rsid w:val="004C05E9"/>
    <w:rsid w:val="00514B16"/>
    <w:rsid w:val="005820F0"/>
    <w:rsid w:val="00584C1B"/>
    <w:rsid w:val="005C0C6A"/>
    <w:rsid w:val="007E5645"/>
    <w:rsid w:val="00853A3D"/>
    <w:rsid w:val="00953D09"/>
    <w:rsid w:val="00A170FF"/>
    <w:rsid w:val="00A86B75"/>
    <w:rsid w:val="00D66188"/>
    <w:rsid w:val="00D96E61"/>
    <w:rsid w:val="00E7346C"/>
    <w:rsid w:val="00E90314"/>
    <w:rsid w:val="00FE41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F5C2C"/>
    <w:rPr>
      <w:color w:val="808080"/>
      <w:lang w:val="en-GB"/>
    </w:rPr>
  </w:style>
  <w:style w:type="paragraph" w:customStyle="1" w:styleId="555CB12E15EC4ADEA3720DF9EC468A48">
    <w:name w:val="555CB12E15EC4ADEA3720DF9EC468A48"/>
  </w:style>
  <w:style w:type="paragraph" w:customStyle="1" w:styleId="2F8B107150C74C41A61C5F98E2608B73">
    <w:name w:val="2F8B107150C74C41A61C5F98E2608B73"/>
    <w:rsid w:val="000F5C2C"/>
  </w:style>
  <w:style w:type="paragraph" w:customStyle="1" w:styleId="CBAA437EE8AF4EBF823553A594E6CE1A">
    <w:name w:val="CBAA437EE8AF4EBF823553A594E6CE1A"/>
    <w:rsid w:val="000F5C2C"/>
  </w:style>
  <w:style w:type="paragraph" w:customStyle="1" w:styleId="78E00192DAFC48DA863F6E0FF80A82C3">
    <w:name w:val="78E00192DAFC48DA863F6E0FF80A82C3"/>
    <w:rsid w:val="000F5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rant Thornton">
  <a:themeElements>
    <a:clrScheme name="GT">
      <a:dk1>
        <a:sysClr val="windowText" lastClr="000000"/>
      </a:dk1>
      <a:lt1>
        <a:sysClr val="window" lastClr="FFFFFF"/>
      </a:lt1>
      <a:dk2>
        <a:srgbClr val="CCC4BD"/>
      </a:dk2>
      <a:lt2>
        <a:srgbClr val="F2F0EE"/>
      </a:lt2>
      <a:accent1>
        <a:srgbClr val="4F2D7F"/>
      </a:accent1>
      <a:accent2>
        <a:srgbClr val="00A4B3"/>
      </a:accent2>
      <a:accent3>
        <a:srgbClr val="FF5149"/>
      </a:accent3>
      <a:accent4>
        <a:srgbClr val="FFC23D"/>
      </a:accent4>
      <a:accent5>
        <a:srgbClr val="A06DFF"/>
      </a:accent5>
      <a:accent6>
        <a:srgbClr val="2B144C"/>
      </a:accent6>
      <a:hlink>
        <a:srgbClr val="2B144C"/>
      </a:hlink>
      <a:folHlink>
        <a:srgbClr val="2B144C"/>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4F2D7F"/>
        </a:solidFill>
        <a:ln>
          <a:noFill/>
        </a:ln>
        <a:effectLst/>
      </a:spPr>
      <a:bodyPr rtlCol="0" anchor="ctr"/>
      <a:lstStyle>
        <a:defPPr algn="l">
          <a:defRPr>
            <a:solidFill>
              <a:schemeClr val="bg1"/>
            </a:solidFill>
          </a:defRPr>
        </a:defP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Autofit/>
      </a:bodyPr>
      <a:lstStyle>
        <a:defPPr algn="l">
          <a:defRPr dirty="0"/>
        </a:defPPr>
      </a:lstStyle>
    </a:txDef>
  </a:objectDefaults>
  <a:extraClrSchemeLst/>
  <a:custClrLst>
    <a:custClr name="Core Purple 80%">
      <a:srgbClr val="725799"/>
    </a:custClr>
    <a:custClr name="Core Purple 80%">
      <a:srgbClr val="9581B2"/>
    </a:custClr>
    <a:custClr name="Core Purple 40%">
      <a:srgbClr val="B9ABCC"/>
    </a:custClr>
    <a:custClr name="Core Purple 20%">
      <a:srgbClr val="DCD5E5"/>
    </a:custClr>
    <a:custClr name="Bright Purple 80%">
      <a:srgbClr val="B38AFF"/>
    </a:custClr>
    <a:custClr name="Bright Purple 60%">
      <a:srgbClr val="C6A7FF"/>
    </a:custClr>
    <a:custClr name="Bright Purple 40%">
      <a:srgbClr val="D9C5FF"/>
    </a:custClr>
    <a:custClr name="Bright Purple 20%">
      <a:srgbClr val="ECE2FF"/>
    </a:custClr>
    <a:custClr>
      <a:srgbClr val="FFFFFF"/>
    </a:custClr>
    <a:custClr>
      <a:srgbClr val="FFFFFF"/>
    </a:custClr>
    <a:custClr name="Dark Purple 80%">
      <a:srgbClr val="554370"/>
    </a:custClr>
    <a:custClr name="Dark Purple 60%">
      <a:srgbClr val="807294"/>
    </a:custClr>
    <a:custClr name="Dark Purple 40%">
      <a:srgbClr val="AAA1B7"/>
    </a:custClr>
    <a:custClr name="Dark Purple 20%">
      <a:srgbClr val="D5D0DB"/>
    </a:custClr>
    <a:custClr name="Teal 80%">
      <a:srgbClr val="33B6C2"/>
    </a:custClr>
    <a:custClr name="Teal 60%">
      <a:srgbClr val="66C8D1"/>
    </a:custClr>
    <a:custClr name="Teal 40%">
      <a:srgbClr val="99DBE1"/>
    </a:custClr>
    <a:custClr name="Teal 20%">
      <a:srgbClr val="CCEDF0"/>
    </a:custClr>
    <a:custClr>
      <a:srgbClr val="FFFFFF"/>
    </a:custClr>
    <a:custClr>
      <a:srgbClr val="FFFFFF"/>
    </a:custClr>
    <a:custClr name="Coral 80%">
      <a:srgbClr val="FF746D"/>
    </a:custClr>
    <a:custClr name="Coral 60%">
      <a:srgbClr val="FF9792"/>
    </a:custClr>
    <a:custClr name="Coral 40%">
      <a:srgbClr val="FFB9B6"/>
    </a:custClr>
    <a:custClr name="Coral 20%">
      <a:srgbClr val="FFDCDB"/>
    </a:custClr>
    <a:custClr name="Yellow 80%">
      <a:srgbClr val="FFCE64"/>
    </a:custClr>
    <a:custClr name="Yellow 60%">
      <a:srgbClr val="FFDA8B"/>
    </a:custClr>
    <a:custClr name="Yellow 40%">
      <a:srgbClr val="FFE7B1"/>
    </a:custClr>
    <a:custClr name="Yellow 20%">
      <a:srgbClr val="FFF3D8"/>
    </a:custClr>
    <a:custClr>
      <a:srgbClr val="FFFFFF"/>
    </a:custClr>
    <a:custClr>
      <a:srgbClr val="FFFFFF"/>
    </a:custClr>
    <a:custClr name="Dark Grey">
      <a:srgbClr val="CCC4BD"/>
    </a:custClr>
    <a:custClr name="Mid Grey">
      <a:srgbClr val="E0DCD7"/>
    </a:custClr>
    <a:custClr name="Light Grey">
      <a:srgbClr val="F2F0EE"/>
    </a:custClr>
    <a:custClr>
      <a:srgbClr val="FFFFFF"/>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Grant Thornton" id="{26BC8A34-73D8-4704-A1AB-936C8DF4D540}" vid="{11A7C55D-167E-42B1-9130-E024F337775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A17F1C46EF89D45A8F7B34936A4C25D" ma:contentTypeVersion="11" ma:contentTypeDescription="Creare un nuovo documento." ma:contentTypeScope="" ma:versionID="e544e8473c11af68dcb414b91289d67e">
  <xsd:schema xmlns:xsd="http://www.w3.org/2001/XMLSchema" xmlns:xs="http://www.w3.org/2001/XMLSchema" xmlns:p="http://schemas.microsoft.com/office/2006/metadata/properties" xmlns:ns2="9f795c65-e9b9-4f2d-8c48-f309a5036641" xmlns:ns3="ab3125fd-b9a1-4d60-84cf-4814da5ffc85" targetNamespace="http://schemas.microsoft.com/office/2006/metadata/properties" ma:root="true" ma:fieldsID="6ba7c257f24ee42ae143c4e7b2db448c" ns2:_="" ns3:_="">
    <xsd:import namespace="9f795c65-e9b9-4f2d-8c48-f309a5036641"/>
    <xsd:import namespace="ab3125fd-b9a1-4d60-84cf-4814da5ffc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5c65-e9b9-4f2d-8c48-f309a5036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3125fd-b9a1-4d60-84cf-4814da5ffc8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f65a04-09c5-4ef4-8c81-319585521ec5}" ma:internalName="TaxCatchAll" ma:showField="CatchAllData" ma:web="ab3125fd-b9a1-4d60-84cf-4814da5ffc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C_Map_Root xmlns="http://Grant_Thornton/CC_Mapping_Part">
  <Logo>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KfQREREREREREZlACn1ERERERERERCaQQh8RERERERERkQmk0EdEREREREREZAIp9BERERERERERmUAKfUREREREREREJpBCHxERERERERGRCaTQR0RERERERERkAin0ERERERERERGZQAp9REREREREREQmkEIfEREREREREZEJpNBHRERERERERGQC/f94ZXCvnPyT7AAAAABJRU5ErkJggg==</Logo>
  <Member_Firm> Bernoni &amp; Partners</Member_Firm>
  <Copyright>Member firm name.  All rights reserved. © 2024</Copyright>
  <Disclaime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w14:paraId="6694D33B" w14:textId="6B48CD52" w:rsidR="004E7893" w:rsidRDefault="004E7893"&gt;&lt;w:pPr&gt;&lt;w:spacing w:after="0" w:line="140" w:lineRule="atLeast"/&gt;&lt;w:suppressOverlap/&gt;&lt;/w:pPr&gt;&lt;w:r&gt;&lt;w:t&gt;© Bernoni &amp;amp; Partners. All rights reserved. 'Grant Thornton' refers to the brand under which the Grant Thornton member firms provide assurance, tax and advisory services to their clients and/or refers to one or more member firms, as the context requires. Bernoni &amp;amp; Partners is a member firm of Grant Thornton International Ltd (GTIL). GTIL and the member firms are not a worldwide partnership. GTIL and each member firm is a separate legal entity. Services are delivered by the member firms. GTIL does not provide&lt;/w:t&gt;&lt;/w:r&gt;&lt;w:r&gt;&lt;w:t xml:space="preserve"&gt; services to clients. GTIL and its member firms are not agents of, and do not obligate, one another and are not liable for one another’s acts or omissions. Please see www.bgt-grantthornton.it for further details. &lt;/w:t&gt;&lt;/w:r&gt;&lt;/w:p&gt;&lt;w:sectPr w:rsidR="00E559B0"&gt;&lt;w:pgSz w:w="12240" w:h="15840"/&gt;&lt;w:pgMar w:top="1417" w:right="1134" w:bottom="1134" w:left="1134"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Roman"/&gt;&lt;w:sz w:val="18"/&gt;&lt;w:szCs w:val="18"/&gt;&lt;w:lang w:val="en-US" w:eastAsia="en-US" w:bidi="ar-SA"/&gt;&lt;/w:rPr&gt;&lt;/w:rPrDefault&gt;&lt;w:pPrDefault/&gt;&lt;/w:docDefaults&gt;&lt;w:style w:type="paragraph" w:default="1" w:styleId="Normale"&gt;&lt;w:name w:val="Normal"/&gt;&lt;w:uiPriority w:val="9"/&gt;&lt;w:rsid w:val="00E559B0"/&gt;&lt;w:pPr&gt;&lt;w:spacing w:after="120" w:line="240" w:lineRule="atLeast"/&gt;&lt;/w:pPr&gt;&lt;w:rPr&gt;&lt;w:lang w:val="en-GB"/&gt;&lt;/w:rPr&gt;&lt;/w:style&gt;&lt;w:style w:type="character" w:default="1" w:styleId="Carpredefinitoparagrafo"&gt;&lt;w:name w:val="Default Paragraph Font"/&gt;&lt;w:uiPriority w:val="1"/&gt;&lt;w:semiHidden/&gt;&lt;w:unhideWhenUsed/&gt;&lt;/w:style&gt;&lt;w:style w:type="table" w:default="1" w:styleId="Tabellanormale"&gt;&lt;w:name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w:styleId="Nessunelenco"&gt;&lt;w:name w:val="No List"/&gt;&lt;w:uiPriority w:val="99"/&gt;&lt;w:semiHidden/&gt;&lt;w:unhideWhenUsed/&gt;&lt;/w:style&gt;&lt;/w:styles&gt;&lt;/pkg:xmlData&gt;&lt;/pkg:part&gt;&lt;/pkg:package&gt;
</Disclaimer>
  <Web>bgt-grantthornton.it</Web>
  <Addres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wp14"&gt;&lt;w:body&gt;&lt;w:p w14:paraId="26F21A05" w14:textId="0ADB6191" w:rsidR="00664CF8" w:rsidRDefault="00664CF8" w:rsidP="006D43ED"&gt;&lt;w:pPr&gt;&lt;w:pStyle w:val="TradingName"/&gt;&lt;w:rPr&gt;&lt;w:bCs/&gt;&lt;/w:rPr&gt;&lt;/w:pPr&gt;&lt;w:r w:rsidRPr="00664CF8"&gt;&lt;w:rPr&gt;&lt;w:bCs/&gt;&lt;/w:rPr&gt;&lt;w:t xml:space="preserve"&gt;Member &lt;/w:t&gt;&lt;/w:r&gt;&lt;w:r&gt;&lt;w:rPr&gt;&lt;w:bCs/&gt;&lt;/w:rPr&gt;&lt;w:t&gt;F&lt;/w:t&gt;&lt;/w:r&gt;&lt;w:r w:rsidRPr="00664CF8"&gt;&lt;w:rPr&gt;&lt;w:bCs/&gt;&lt;/w:rPr&gt;&lt;w:t xml:space="preserve"&gt;irm &lt;/w:t&gt;&lt;/w:r&gt;&lt;w:r&gt;&lt;w:rPr&gt;&lt;w:bCs/&gt;&lt;/w:rPr&gt;&lt;w:t&gt;Name&lt;/w:t&gt;&lt;/w:r&gt;&lt;/w:p&gt;&lt;w:p w14:paraId="0F696374" w14:textId="1DBBAFA6" w:rsidR="00664CF8" w:rsidRDefault="00664CF8" w:rsidP="006D43ED"&gt;&lt;w:pPr&gt;&lt;w:pStyle w:val="PartnerAddress"/&gt;&lt;/w:pPr&gt;&lt;w:r&gt;&lt;w:t&gt;Address Line 1&lt;/w:t&gt;&lt;/w:r&gt;&lt;/w:p&gt;&lt;w:p w14:paraId="34952C54" w14:textId="7BDD0CA3" w:rsidR="00664CF8" w:rsidRDefault="00664CF8" w:rsidP="006D43ED"&gt;&lt;w:pPr&gt;&lt;w:pStyle w:val="PartnerAddress"/&gt;&lt;/w:pPr&gt;&lt;w:r&gt;&lt;w:t&gt;City, postcode&lt;/w:t&gt;&lt;/w:r&gt;&lt;/w:p&gt;&lt;w:p w14:paraId="7620C783" w14:textId="7F8F706B" w:rsidR="00664CF8" w:rsidRDefault="00664CF8" w:rsidP="006D43ED"&gt;&lt;w:pPr&gt;&lt;w:pStyle w:val="PartnerAddress"/&gt;&lt;/w:pPr&gt;&lt;w:r&gt;&lt;w:t&gt;Country&lt;/w:t&gt;&lt;/w:r&gt;&lt;/w:p&gt;&lt;w:p w14:paraId="1E051A5A" w14:textId="77777777" w:rsidR="00664CF8" w:rsidRDefault="00664CF8" w:rsidP="006D43ED"&gt;&lt;w:pPr&gt;&lt;w:pStyle w:val="HalfLineBreak"/&gt;&lt;/w:pPr&gt;&lt;/w:p&gt;&lt;w:p w14:paraId="7EE524E6" w14:textId="52DCE987" w:rsidR="00664CF8" w:rsidRDefault="00664CF8" w:rsidP="006D43ED"&gt;&lt;w:pPr&gt;&lt;w:pStyle w:val="PartnerAddress"/&gt;&lt;/w:pPr&gt;&lt;w:r&gt;&lt;w:t&gt;T +00 123 456 7890&lt;/w:t&gt;&lt;/w:r&gt;&lt;/w:p&gt;&lt;w:p w14:paraId="61155D12" w14:textId="77777777" w:rsidR="00664CF8" w:rsidRDefault="00664CF8" w:rsidP="006D43ED"&gt;&lt;w:pPr&gt;&lt;w:pStyle w:val="PartnerAddress"/&gt;&lt;/w:pPr&gt;&lt;/w:p&gt;&lt;w:sectPr w:rsidR="00664CF8"&gt;&lt;w:pgSz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w16du"&gt;&lt;w:docDefaults&gt;&lt;w:rPrDefault&gt;&lt;w:rPr&gt;&lt;w:rFonts w:asciiTheme="minorHAnsi" w:eastAsia="Times New Roman" w:hAnsiTheme="minorHAnsi" w:cs="Times New Roman"/&gt;&lt;w:sz w:val="18"/&gt;&lt;w:szCs w:val="18"/&gt;&lt;w:lang w:val="en-US" w:eastAsia="en-US" w:bidi="ar-SA"/&gt;&lt;/w:rPr&gt;&lt;/w:rPrDefault&gt;&lt;w:pPrDefault/&gt;&lt;/w:docDefaults&gt;&lt;w:style w:type="paragraph" w:default="1" w:styleId="Normal"&gt;&lt;w:name w:val="Normal"/&gt;&lt;w:uiPriority w:val="9"/&gt;&lt;w:rsid w:val="00F67EBC"/&gt;&lt;w:pPr&gt;&lt;w:spacing w:after="120" w:line="240" w:lineRule="atLeast"/&gt;&lt;/w:pPr&gt;&lt;w:rPr&gt;&lt;w:lang w:val="en-GB"/&gt;&lt;/w:rPr&gt;&lt;/w:style&gt;&lt;w:style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w:customStyle="1" w:styleId="TradingName"&gt;&lt;w:name w:val="Trading Name"/&gt;&lt;w:semiHidden/&gt;&lt;w:pPr&gt;&lt;w:spacing w:line="180" w:lineRule="atLeast"/&gt;&lt;/w:pPr&gt;&lt;w:rPr&gt;&lt;w:rFonts w:eastAsia="SimHei" w:cs="Arial"/&gt;&lt;w:b/&gt;&lt;w:sz w:val="16"/&gt;&lt;w:lang w:val="en-GB"/&gt;&lt;/w:rPr&gt;&lt;/w:style&gt;&lt;w:style w:type="paragraph" w:customStyle="1" w:styleId="PartnerAddress"&gt;&lt;w:name w:val="Partner Address"/&gt;&lt;w:semiHidden/&gt;&lt;w:rPr&gt;&lt;w:rFonts w:eastAsia="SimHei" w:cs="Arial"/&gt;&lt;w:sz w:val="16"/&gt;&lt;w:lang w:val="en-GB"/&gt;&lt;/w:rPr&gt;&lt;/w:style&gt;&lt;w:style w:type="paragraph" w:customStyle="1" w:styleId="HalfLineBreak"&gt;&lt;w:name w:val="Half Line Break"/&gt;&lt;w:semiHidden/&gt;&lt;w:rPr&gt;&lt;w:rFonts w:eastAsia="SimHei" w:cs="Arial"/&gt;&lt;w:b/&gt;&lt;w:sz w:val="7"/&gt;&lt;w:lang w:val="en-GB"/&gt;&lt;/w:rPr&gt;&lt;/w:style&gt;&lt;/w:styles&gt;&lt;/pkg:xmlData&gt;&lt;/pkg:part&gt;&lt;/pkg:package&gt;
</Address>
</CC_Map_Root>
</file>

<file path=customXml/item3.xml><?xml version="1.0" encoding="utf-8"?>
<p:properties xmlns:p="http://schemas.microsoft.com/office/2006/metadata/properties" xmlns:xsi="http://www.w3.org/2001/XMLSchema-instance" xmlns:pc="http://schemas.microsoft.com/office/infopath/2007/PartnerControls">
  <documentManagement>
    <TaxCatchAll xmlns="ab3125fd-b9a1-4d60-84cf-4814da5ffc85" xsi:nil="true"/>
    <lcf76f155ced4ddcb4097134ff3c332f xmlns="9f795c65-e9b9-4f2d-8c48-f309a503664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E5746-FE35-4968-9FA2-E97E4C79E0C7}"/>
</file>

<file path=customXml/itemProps2.xml><?xml version="1.0" encoding="utf-8"?>
<ds:datastoreItem xmlns:ds="http://schemas.openxmlformats.org/officeDocument/2006/customXml" ds:itemID="{344FAD1D-49D7-411A-827E-64424C78A5FC}">
  <ds:schemaRefs>
    <ds:schemaRef ds:uri="http://Grant_Thornton/CC_Mapping_Part"/>
  </ds:schemaRefs>
</ds:datastoreItem>
</file>

<file path=customXml/itemProps3.xml><?xml version="1.0" encoding="utf-8"?>
<ds:datastoreItem xmlns:ds="http://schemas.openxmlformats.org/officeDocument/2006/customXml" ds:itemID="{72FB0F46-30C4-445F-A81A-3EE68A8D3CC0}">
  <ds:schemaRefs>
    <ds:schemaRef ds:uri="http://schemas.microsoft.com/office/2006/metadata/properties"/>
    <ds:schemaRef ds:uri="http://schemas.microsoft.com/office/infopath/2007/PartnerControls"/>
    <ds:schemaRef ds:uri="b92d8ff8-327c-4a08-ba48-7a988647078b"/>
    <ds:schemaRef ds:uri="1e698236-29d0-40e0-bb5d-550695abb2e1"/>
  </ds:schemaRefs>
</ds:datastoreItem>
</file>

<file path=customXml/itemProps4.xml><?xml version="1.0" encoding="utf-8"?>
<ds:datastoreItem xmlns:ds="http://schemas.openxmlformats.org/officeDocument/2006/customXml" ds:itemID="{C3C61354-9C1B-4C19-AA91-39F7E2A38CAB}">
  <ds:schemaRefs>
    <ds:schemaRef ds:uri="http://schemas.openxmlformats.org/officeDocument/2006/bibliography"/>
  </ds:schemaRefs>
</ds:datastoreItem>
</file>

<file path=customXml/itemProps5.xml><?xml version="1.0" encoding="utf-8"?>
<ds:datastoreItem xmlns:ds="http://schemas.openxmlformats.org/officeDocument/2006/customXml" ds:itemID="{B5DC5900-D9EB-4E27-85BF-7AFC16C1F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 - without office address</Template>
  <TotalTime>10</TotalTime>
  <Pages>12</Pages>
  <Words>6026</Words>
  <Characters>34747</Characters>
  <Application>Microsoft Office Word</Application>
  <DocSecurity>4</DocSecurity>
  <Lines>289</Lines>
  <Paragraphs>81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40692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Gaia Guida</dc:creator>
  <cp:keywords/>
  <dc:description/>
  <cp:lastModifiedBy>Paolo Besio</cp:lastModifiedBy>
  <cp:revision>2</cp:revision>
  <cp:lastPrinted>2025-06-24T16:45:00Z</cp:lastPrinted>
  <dcterms:created xsi:type="dcterms:W3CDTF">2025-06-24T18:05:00Z</dcterms:created>
  <dcterms:modified xsi:type="dcterms:W3CDTF">2025-06-24T18:05:00Z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Memo</vt:lpwstr>
  </property>
  <property fmtid="{D5CDD505-2E9C-101B-9397-08002B2CF9AE}" pid="3" name="Copyright">
    <vt:lpwstr>Grant Thornton International Ltd.  All rights reserved. © 2024</vt:lpwstr>
  </property>
  <property fmtid="{D5CDD505-2E9C-101B-9397-08002B2CF9AE}" pid="4" name="MemberFirm">
    <vt:lpwstr>Grant Thornton International Ltd.</vt:lpwstr>
  </property>
  <property fmtid="{D5CDD505-2E9C-101B-9397-08002B2CF9AE}" pid="5" name="MSIP_Label_f354fe13-e683-4cbd-a446-16d2527d934b_Enabled">
    <vt:lpwstr>true</vt:lpwstr>
  </property>
  <property fmtid="{D5CDD505-2E9C-101B-9397-08002B2CF9AE}" pid="6" name="MSIP_Label_f354fe13-e683-4cbd-a446-16d2527d934b_SetDate">
    <vt:lpwstr>2024-01-19T17:09:15Z</vt:lpwstr>
  </property>
  <property fmtid="{D5CDD505-2E9C-101B-9397-08002B2CF9AE}" pid="7" name="MSIP_Label_f354fe13-e683-4cbd-a446-16d2527d934b_Method">
    <vt:lpwstr>Standard</vt:lpwstr>
  </property>
  <property fmtid="{D5CDD505-2E9C-101B-9397-08002B2CF9AE}" pid="8" name="MSIP_Label_f354fe13-e683-4cbd-a446-16d2527d934b_Name">
    <vt:lpwstr>defa4170-0d19-0005-0004-bc88714345d2</vt:lpwstr>
  </property>
  <property fmtid="{D5CDD505-2E9C-101B-9397-08002B2CF9AE}" pid="9" name="MSIP_Label_f354fe13-e683-4cbd-a446-16d2527d934b_SiteId">
    <vt:lpwstr>0abb4e3d-5a28-4194-ba96-a1f071ec1e8b</vt:lpwstr>
  </property>
  <property fmtid="{D5CDD505-2E9C-101B-9397-08002B2CF9AE}" pid="10" name="MSIP_Label_f354fe13-e683-4cbd-a446-16d2527d934b_ActionId">
    <vt:lpwstr>ee040f8a-78ae-4473-9e44-d280a22d66d1</vt:lpwstr>
  </property>
  <property fmtid="{D5CDD505-2E9C-101B-9397-08002B2CF9AE}" pid="11" name="MSIP_Label_f354fe13-e683-4cbd-a446-16d2527d934b_ContentBits">
    <vt:lpwstr>0</vt:lpwstr>
  </property>
  <property fmtid="{D5CDD505-2E9C-101B-9397-08002B2CF9AE}" pid="12" name="URL">
    <vt:lpwstr>grantthornton.global</vt:lpwstr>
  </property>
  <property fmtid="{D5CDD505-2E9C-101B-9397-08002B2CF9AE}" pid="13" name="Disclaimer">
    <vt:lpwstr>© 2024 Grant Thornton International Ltd.  All rights reserved.</vt:lpwstr>
  </property>
  <property fmtid="{D5CDD505-2E9C-101B-9397-08002B2CF9AE}" pid="14" name="dv_partners">
    <vt:lpwstr>true</vt:lpwstr>
  </property>
  <property fmtid="{D5CDD505-2E9C-101B-9397-08002B2CF9AE}" pid="15" name="ContentTypeId">
    <vt:lpwstr>0x0101007A17F1C46EF89D45A8F7B34936A4C25D</vt:lpwstr>
  </property>
</Properties>
</file>